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1AE6F" w14:textId="22AFDC3C" w:rsidR="00F33CD2" w:rsidRPr="00FF31CD" w:rsidRDefault="004B40A9" w:rsidP="00F33CD2">
      <w:pPr>
        <w:jc w:val="center"/>
        <w:rPr>
          <w:rFonts w:ascii="Calibri" w:hAnsi="Calibri" w:cs="Calibri"/>
          <w:b/>
          <w:bCs/>
          <w:sz w:val="32"/>
          <w:szCs w:val="32"/>
        </w:rPr>
      </w:pPr>
      <w:r w:rsidRPr="00FF31CD">
        <w:rPr>
          <w:rFonts w:ascii="Calibri" w:hAnsi="Calibri" w:cs="Calibri"/>
          <w:b/>
          <w:bCs/>
          <w:sz w:val="32"/>
          <w:szCs w:val="32"/>
        </w:rPr>
        <w:t xml:space="preserve">100 </w:t>
      </w:r>
      <w:r w:rsidR="00F33CD2" w:rsidRPr="00FF31CD">
        <w:rPr>
          <w:rFonts w:ascii="Calibri" w:hAnsi="Calibri" w:cs="Calibri"/>
          <w:b/>
          <w:bCs/>
          <w:sz w:val="32"/>
          <w:szCs w:val="32"/>
        </w:rPr>
        <w:t xml:space="preserve">TOP </w:t>
      </w:r>
      <w:r w:rsidR="00E26C16" w:rsidRPr="00FF31CD">
        <w:rPr>
          <w:rFonts w:ascii="Calibri" w:hAnsi="Calibri" w:cs="Calibri"/>
          <w:b/>
          <w:bCs/>
          <w:sz w:val="32"/>
          <w:szCs w:val="32"/>
        </w:rPr>
        <w:t xml:space="preserve">RECENT </w:t>
      </w:r>
      <w:r w:rsidR="009A7CA1" w:rsidRPr="00FF31CD">
        <w:rPr>
          <w:rFonts w:ascii="Calibri" w:hAnsi="Calibri" w:cs="Calibri"/>
          <w:b/>
          <w:bCs/>
          <w:sz w:val="32"/>
          <w:szCs w:val="32"/>
        </w:rPr>
        <w:t xml:space="preserve">HOSPITALITY </w:t>
      </w:r>
      <w:r w:rsidR="00F33CD2" w:rsidRPr="00FF31CD">
        <w:rPr>
          <w:rFonts w:ascii="Calibri" w:hAnsi="Calibri" w:cs="Calibri"/>
          <w:b/>
          <w:bCs/>
          <w:sz w:val="32"/>
          <w:szCs w:val="32"/>
        </w:rPr>
        <w:t xml:space="preserve">CASES </w:t>
      </w:r>
      <w:r w:rsidR="008775DC" w:rsidRPr="00FF31CD">
        <w:rPr>
          <w:rFonts w:ascii="Calibri" w:hAnsi="Calibri" w:cs="Calibri"/>
          <w:b/>
          <w:bCs/>
          <w:sz w:val="32"/>
          <w:szCs w:val="32"/>
        </w:rPr>
        <w:t>2024-</w:t>
      </w:r>
      <w:r w:rsidR="00D910F9" w:rsidRPr="00FF31CD">
        <w:rPr>
          <w:rFonts w:ascii="Calibri" w:hAnsi="Calibri" w:cs="Calibri"/>
          <w:b/>
          <w:bCs/>
          <w:sz w:val="32"/>
          <w:szCs w:val="32"/>
        </w:rPr>
        <w:t>202</w:t>
      </w:r>
      <w:r w:rsidR="00A77529" w:rsidRPr="00FF31CD">
        <w:rPr>
          <w:rFonts w:ascii="Calibri" w:hAnsi="Calibri" w:cs="Calibri"/>
          <w:b/>
          <w:bCs/>
          <w:sz w:val="32"/>
          <w:szCs w:val="32"/>
        </w:rPr>
        <w:t>5</w:t>
      </w:r>
    </w:p>
    <w:p w14:paraId="6488CE5F" w14:textId="4A22F9E1" w:rsidR="008775DC" w:rsidRPr="00FF31CD" w:rsidRDefault="008775DC" w:rsidP="00F33CD2">
      <w:pPr>
        <w:jc w:val="center"/>
        <w:rPr>
          <w:rFonts w:ascii="Calibri" w:hAnsi="Calibri" w:cs="Calibri"/>
          <w:b/>
          <w:bCs/>
          <w:sz w:val="32"/>
          <w:szCs w:val="32"/>
        </w:rPr>
      </w:pPr>
      <w:r w:rsidRPr="00FF31CD">
        <w:rPr>
          <w:rFonts w:ascii="Calibri" w:hAnsi="Calibri" w:cs="Calibri"/>
          <w:b/>
          <w:bCs/>
          <w:sz w:val="32"/>
          <w:szCs w:val="32"/>
        </w:rPr>
        <w:t xml:space="preserve">Karen Morris, </w:t>
      </w:r>
      <w:r w:rsidR="00455C42" w:rsidRPr="00FF31CD">
        <w:rPr>
          <w:rFonts w:ascii="Calibri" w:hAnsi="Calibri" w:cs="Calibri"/>
          <w:b/>
          <w:bCs/>
          <w:sz w:val="32"/>
          <w:szCs w:val="32"/>
        </w:rPr>
        <w:t>Esq.</w:t>
      </w:r>
    </w:p>
    <w:p w14:paraId="05BEB034" w14:textId="5BF86D5F" w:rsidR="00F33CD2" w:rsidRPr="00FF31CD" w:rsidRDefault="004A0F24" w:rsidP="00F33CD2">
      <w:pPr>
        <w:jc w:val="center"/>
        <w:rPr>
          <w:rFonts w:ascii="Calibri" w:hAnsi="Calibri" w:cs="Calibri"/>
          <w:b/>
          <w:bCs/>
          <w:sz w:val="32"/>
          <w:szCs w:val="32"/>
        </w:rPr>
      </w:pPr>
      <w:r w:rsidRPr="00FF31CD">
        <w:rPr>
          <w:rFonts w:ascii="Calibri" w:hAnsi="Calibri" w:cs="Calibri"/>
          <w:b/>
          <w:bCs/>
          <w:sz w:val="32"/>
          <w:szCs w:val="32"/>
        </w:rPr>
        <w:t>Diana S. Barber, J.D.</w:t>
      </w:r>
    </w:p>
    <w:p w14:paraId="7DD4B68F" w14:textId="77777777" w:rsidR="00F33CD2" w:rsidRPr="00FF31CD" w:rsidRDefault="00F33CD2">
      <w:pPr>
        <w:rPr>
          <w:rFonts w:ascii="Calibri" w:hAnsi="Calibri" w:cs="Calibri"/>
          <w:b/>
          <w:bCs/>
          <w:sz w:val="24"/>
          <w:szCs w:val="24"/>
        </w:rPr>
      </w:pPr>
    </w:p>
    <w:p w14:paraId="6788A919" w14:textId="0B971657" w:rsidR="00C117E5" w:rsidRPr="00FF31CD" w:rsidRDefault="00CF5BA7" w:rsidP="009D4741">
      <w:pPr>
        <w:rPr>
          <w:rFonts w:ascii="Calibri" w:hAnsi="Calibri" w:cs="Calibri"/>
        </w:rPr>
      </w:pPr>
      <w:r w:rsidRPr="00FF31CD">
        <w:rPr>
          <w:rFonts w:ascii="Calibri" w:hAnsi="Calibri" w:cs="Calibri"/>
          <w:b/>
          <w:bCs/>
          <w:sz w:val="24"/>
          <w:szCs w:val="24"/>
        </w:rPr>
        <w:t>Americans with Disabilities Act</w:t>
      </w:r>
    </w:p>
    <w:p w14:paraId="0C02C7FE" w14:textId="77777777" w:rsidR="00BD0C21" w:rsidRPr="00FF31CD" w:rsidRDefault="00BD0C21" w:rsidP="00BD0C21">
      <w:pPr>
        <w:pStyle w:val="ListParagraph"/>
        <w:numPr>
          <w:ilvl w:val="0"/>
          <w:numId w:val="1"/>
        </w:numPr>
        <w:rPr>
          <w:rFonts w:ascii="Calibri" w:hAnsi="Calibri" w:cs="Calibri"/>
          <w:sz w:val="22"/>
        </w:rPr>
      </w:pPr>
      <w:r w:rsidRPr="00FF31CD">
        <w:rPr>
          <w:rFonts w:ascii="Calibri" w:hAnsi="Calibri" w:cs="Calibri"/>
          <w:b/>
          <w:bCs/>
          <w:sz w:val="22"/>
        </w:rPr>
        <w:t>Shelley v. Leisure Hotel Group, LLC</w:t>
      </w:r>
      <w:r w:rsidRPr="00FF31CD">
        <w:rPr>
          <w:rFonts w:ascii="Calibri" w:hAnsi="Calibri" w:cs="Calibri"/>
          <w:sz w:val="22"/>
        </w:rPr>
        <w:t xml:space="preserve">, 2024 WL 235218 (N.D. Cal., 2024).  Plaintiff, a disabled individual who suffers from ADHD and PTSD, among other disabilities, due to dialysis for 11 years and receiving a kidney transplant, uses a service animal, a dog, to assist him and help manage his symptoms. Due to a home renovation, plaintiff and his service animal checked into defendant’s Clarion Hotel for a one-night stay. The front-desk attendant asked him about his dog and about plaintiff’s medical condition. Plaintiff answered the questions even though not required by law to do so. Plaintiff decided to extend his stay but was denied, allegedly due to his dog’s presence. Plaintiff filed a claim for Violations of his ADA rights. Defendant filed a motion to dismiss, stating that the plaintiff had not been diagnosed by a medical professional, that het he could not dress and feed himself, or do household chores, drive, or use a computer. The court said no requirement exists for plaintiff to address these items. Defendant also claimed that the dog was an emotional support animal and not a service animal. The court also dismissed the defendant’s claim stating that the plaintiff alleged the dog was professionally trained to provide physical support and to assist plaintiff with his PTSD, ADHD, and other related disabilities. </w:t>
      </w:r>
    </w:p>
    <w:p w14:paraId="61BF02D5" w14:textId="77777777" w:rsidR="00BD0C21" w:rsidRPr="00FF31CD" w:rsidRDefault="00BD0C21" w:rsidP="00BD0C21">
      <w:pPr>
        <w:pStyle w:val="ListParagraph"/>
        <w:ind w:left="1080" w:firstLine="0"/>
        <w:rPr>
          <w:rFonts w:ascii="Calibri" w:hAnsi="Calibri" w:cs="Calibri"/>
          <w:sz w:val="22"/>
        </w:rPr>
      </w:pPr>
    </w:p>
    <w:p w14:paraId="3A26517D" w14:textId="77DCA1FB" w:rsidR="00B56D0B" w:rsidRPr="00FF31CD" w:rsidRDefault="00BD0C21" w:rsidP="00BD0C21">
      <w:pPr>
        <w:pStyle w:val="ListParagraph"/>
        <w:numPr>
          <w:ilvl w:val="0"/>
          <w:numId w:val="1"/>
        </w:numPr>
        <w:rPr>
          <w:rFonts w:ascii="Calibri" w:hAnsi="Calibri" w:cs="Calibri"/>
          <w:sz w:val="22"/>
        </w:rPr>
      </w:pPr>
      <w:r w:rsidRPr="00FF31CD">
        <w:rPr>
          <w:rFonts w:ascii="Calibri" w:hAnsi="Calibri" w:cs="Calibri"/>
          <w:b/>
          <w:bCs/>
          <w:sz w:val="22"/>
        </w:rPr>
        <w:t>Washburn v. Mesquite Gaming, LLC,</w:t>
      </w:r>
      <w:r w:rsidRPr="00FF31CD">
        <w:rPr>
          <w:rFonts w:ascii="Calibri" w:hAnsi="Calibri" w:cs="Calibri"/>
          <w:sz w:val="22"/>
        </w:rPr>
        <w:t xml:space="preserve"> No. 2:24-cv-00383-CDS-BNW U.S. Dist. Ct., D. Nevada (06/10/2024). Plaintiff, a guest of the Virgin River Hotel and Casino, owned and operated by the defendant in Nevada, is hearing impaired and relies on a service animal, a dog. The plaintiff claimed that the hotel violated the ADA and Nevada state laws by discriminating against him due to his disability and service animal needs.  Plaintiff alleged that the hotel segregated guests with disabilities who have service animals to a specific building on the hotel property and prevented him from using the hotel’s pool area while accompanied by his service animal. The plaintiff sought injunctive relief.  The court granted the defendant’s motion to dismiss primarily on the grounds that the plaintiff lacked standing under Article III of the U.S. Constitution. Although the plaintiff adequately alleged the hotel’s actions were discriminatory under the ADA, he failed to demonstrate a real and immediate threat of future injury, which is necessary for standing in cases seeking injunctive relief under the ADA. The case was dismissed without prejudice and the plaintiff will have an opportunity to amend the complaint so long as he participates in a settlement conference before filing any new complaint.</w:t>
      </w:r>
    </w:p>
    <w:p w14:paraId="55DFB495" w14:textId="77777777" w:rsidR="009D4741" w:rsidRPr="00FF31CD" w:rsidRDefault="009D4741" w:rsidP="009D4741">
      <w:pPr>
        <w:pStyle w:val="ListParagraph"/>
        <w:ind w:left="1080" w:firstLine="0"/>
        <w:rPr>
          <w:rFonts w:ascii="Calibri" w:hAnsi="Calibri" w:cs="Calibri"/>
          <w:sz w:val="22"/>
        </w:rPr>
      </w:pPr>
    </w:p>
    <w:p w14:paraId="2ED416A1" w14:textId="03DFC21C" w:rsidR="00F15486" w:rsidRPr="00FF31CD" w:rsidRDefault="00FB71E3" w:rsidP="008F0555">
      <w:pPr>
        <w:pStyle w:val="ListParagraph"/>
        <w:numPr>
          <w:ilvl w:val="0"/>
          <w:numId w:val="1"/>
        </w:numPr>
        <w:rPr>
          <w:rFonts w:ascii="Calibri" w:hAnsi="Calibri" w:cs="Calibri"/>
          <w:sz w:val="22"/>
        </w:rPr>
      </w:pPr>
      <w:r w:rsidRPr="00FF31CD">
        <w:rPr>
          <w:rFonts w:ascii="Calibri" w:hAnsi="Calibri" w:cs="Calibri"/>
          <w:b/>
          <w:bCs/>
          <w:sz w:val="22"/>
        </w:rPr>
        <w:t>Goldup v. Valley View Casino &amp; Hotel</w:t>
      </w:r>
      <w:r w:rsidRPr="00FF31CD">
        <w:rPr>
          <w:rFonts w:ascii="Calibri" w:hAnsi="Calibri" w:cs="Calibri"/>
          <w:sz w:val="22"/>
        </w:rPr>
        <w:t xml:space="preserve">, 2025 WL 360361 (S.D. CA., 2025).  This case addresses a procedural matter only, and he basis for plaintiff’s case against the hotel is not disclosed in the judge’s decision.  Defendant moved to dismiss plaintiff’s complaint, and plaintiff asked for hearing.  He suffers from dyslexia and a learning disability, which present “significant challenges” in his written communication.  He thus requested a telephonic hearing as a reasonable accommodation. The court noted that the US has “long supported full access to </w:t>
      </w:r>
      <w:r w:rsidRPr="00FF31CD">
        <w:rPr>
          <w:rFonts w:ascii="Calibri" w:hAnsi="Calibri" w:cs="Calibri"/>
          <w:sz w:val="22"/>
        </w:rPr>
        <w:lastRenderedPageBreak/>
        <w:t>judicial proceedings by all segments of the disabled community.”  Federal courts are thus mandated to make reasonable accommodations to people with disabilities.  The court ruled conducting a hearing by phone was a reasonable accommodation.</w:t>
      </w:r>
    </w:p>
    <w:p w14:paraId="4DBA273C" w14:textId="77777777" w:rsidR="00FB71E3" w:rsidRPr="00FF31CD" w:rsidRDefault="00FB71E3" w:rsidP="00FB71E3">
      <w:pPr>
        <w:pStyle w:val="ListParagraph"/>
        <w:ind w:left="1080" w:firstLine="0"/>
        <w:rPr>
          <w:rFonts w:ascii="Calibri" w:hAnsi="Calibri" w:cs="Calibri"/>
          <w:sz w:val="22"/>
        </w:rPr>
      </w:pPr>
    </w:p>
    <w:p w14:paraId="60DBE27B" w14:textId="0E069D7A" w:rsidR="00A82D5A" w:rsidRPr="00FF31CD" w:rsidRDefault="00593B98" w:rsidP="008F0555">
      <w:pPr>
        <w:pStyle w:val="ListParagraph"/>
        <w:numPr>
          <w:ilvl w:val="0"/>
          <w:numId w:val="1"/>
        </w:numPr>
        <w:rPr>
          <w:rFonts w:ascii="Calibri" w:hAnsi="Calibri" w:cs="Calibri"/>
          <w:sz w:val="22"/>
        </w:rPr>
      </w:pPr>
      <w:r w:rsidRPr="00FF31CD">
        <w:rPr>
          <w:rFonts w:ascii="Calibri" w:hAnsi="Calibri" w:cs="Calibri"/>
          <w:b/>
          <w:bCs/>
          <w:sz w:val="22"/>
        </w:rPr>
        <w:t>Arogant Hollywood vs. Marr,</w:t>
      </w:r>
      <w:r w:rsidR="004A6A2D" w:rsidRPr="00FF31CD">
        <w:rPr>
          <w:rFonts w:ascii="Calibri" w:hAnsi="Calibri" w:cs="Calibri"/>
          <w:b/>
          <w:bCs/>
          <w:sz w:val="22"/>
        </w:rPr>
        <w:t xml:space="preserve"> </w:t>
      </w:r>
      <w:r w:rsidRPr="00FF31CD">
        <w:rPr>
          <w:rFonts w:ascii="Calibri" w:hAnsi="Calibri" w:cs="Calibri"/>
          <w:b/>
          <w:bCs/>
          <w:sz w:val="22"/>
        </w:rPr>
        <w:t>Keaton, Cube</w:t>
      </w:r>
      <w:r w:rsidR="004A6A2D" w:rsidRPr="00FF31CD">
        <w:rPr>
          <w:rFonts w:ascii="Calibri" w:hAnsi="Calibri" w:cs="Calibri"/>
          <w:b/>
          <w:bCs/>
          <w:sz w:val="22"/>
        </w:rPr>
        <w:t>s</w:t>
      </w:r>
      <w:r w:rsidRPr="00FF31CD">
        <w:rPr>
          <w:rFonts w:ascii="Calibri" w:hAnsi="Calibri" w:cs="Calibri"/>
          <w:b/>
          <w:bCs/>
          <w:sz w:val="22"/>
        </w:rPr>
        <w:t xml:space="preserve">mart LP, et al, </w:t>
      </w:r>
      <w:r w:rsidRPr="00FF31CD">
        <w:rPr>
          <w:rFonts w:ascii="Calibri" w:hAnsi="Calibri" w:cs="Calibri"/>
          <w:sz w:val="22"/>
        </w:rPr>
        <w:t>No. 22-2270 (U.S. District Court, E.D. PA (03/28/</w:t>
      </w:r>
      <w:r w:rsidR="00633EA5" w:rsidRPr="00FF31CD">
        <w:rPr>
          <w:rFonts w:ascii="Calibri" w:hAnsi="Calibri" w:cs="Calibri"/>
          <w:sz w:val="22"/>
        </w:rPr>
        <w:t>2024</w:t>
      </w:r>
      <w:r w:rsidRPr="00FF31CD">
        <w:rPr>
          <w:rFonts w:ascii="Calibri" w:hAnsi="Calibri" w:cs="Calibri"/>
          <w:sz w:val="22"/>
        </w:rPr>
        <w:t>)</w:t>
      </w:r>
      <w:r w:rsidR="004A6A2D" w:rsidRPr="00FF31CD">
        <w:rPr>
          <w:rFonts w:ascii="Calibri" w:hAnsi="Calibri" w:cs="Calibri"/>
          <w:sz w:val="22"/>
        </w:rPr>
        <w:t xml:space="preserve">. </w:t>
      </w:r>
      <w:r w:rsidR="00FD7DD5" w:rsidRPr="00FF31CD">
        <w:rPr>
          <w:rFonts w:ascii="Calibri" w:hAnsi="Calibri" w:cs="Calibri"/>
          <w:sz w:val="22"/>
        </w:rPr>
        <w:t>In this case, Arogant Hollywood, acting without legal representation, filed a lawsuit against CubeSmart LP, a self-storage facility owner, and its executives, alleging violations of the ADA and retaliation for exercising ADA rights.</w:t>
      </w:r>
      <w:r w:rsidR="00CE5709" w:rsidRPr="00FF31CD">
        <w:rPr>
          <w:rFonts w:ascii="Calibri" w:hAnsi="Calibri" w:cs="Calibri"/>
          <w:sz w:val="22"/>
        </w:rPr>
        <w:t xml:space="preserve"> Plaintiff</w:t>
      </w:r>
      <w:r w:rsidR="00FD7DD5" w:rsidRPr="00FF31CD">
        <w:rPr>
          <w:rFonts w:ascii="Calibri" w:hAnsi="Calibri" w:cs="Calibri"/>
          <w:sz w:val="22"/>
        </w:rPr>
        <w:t xml:space="preserve"> claimed that </w:t>
      </w:r>
      <w:r w:rsidR="00CE5709" w:rsidRPr="00FF31CD">
        <w:rPr>
          <w:rFonts w:ascii="Calibri" w:hAnsi="Calibri" w:cs="Calibri"/>
          <w:sz w:val="22"/>
        </w:rPr>
        <w:t>defendant</w:t>
      </w:r>
      <w:r w:rsidR="00AA48D7" w:rsidRPr="00FF31CD">
        <w:rPr>
          <w:rFonts w:ascii="Calibri" w:hAnsi="Calibri" w:cs="Calibri"/>
          <w:sz w:val="22"/>
        </w:rPr>
        <w:t>s’</w:t>
      </w:r>
      <w:r w:rsidR="00FD7DD5" w:rsidRPr="00FF31CD">
        <w:rPr>
          <w:rFonts w:ascii="Calibri" w:hAnsi="Calibri" w:cs="Calibri"/>
          <w:sz w:val="22"/>
        </w:rPr>
        <w:t xml:space="preserve"> employees intentionally locked the public bathroom at their</w:t>
      </w:r>
      <w:r w:rsidR="00AA48D7" w:rsidRPr="00FF31CD">
        <w:rPr>
          <w:rFonts w:ascii="Calibri" w:hAnsi="Calibri" w:cs="Calibri"/>
          <w:sz w:val="22"/>
        </w:rPr>
        <w:t xml:space="preserve"> </w:t>
      </w:r>
      <w:r w:rsidR="00FD7DD5" w:rsidRPr="00FF31CD">
        <w:rPr>
          <w:rFonts w:ascii="Calibri" w:hAnsi="Calibri" w:cs="Calibri"/>
          <w:sz w:val="22"/>
        </w:rPr>
        <w:t xml:space="preserve">California facility, thereby infringing upon his rights as a person with urinary incontinence. He alleged that despite notifying CubeSmart employees of his condition, they continued to keep the restroom locked, especially on Sundays. </w:t>
      </w:r>
      <w:r w:rsidR="00AE604B" w:rsidRPr="00FF31CD">
        <w:rPr>
          <w:rFonts w:ascii="Calibri" w:hAnsi="Calibri" w:cs="Calibri"/>
          <w:sz w:val="22"/>
        </w:rPr>
        <w:t xml:space="preserve">Plaintiff </w:t>
      </w:r>
      <w:r w:rsidR="00FD7DD5" w:rsidRPr="00FF31CD">
        <w:rPr>
          <w:rFonts w:ascii="Calibri" w:hAnsi="Calibri" w:cs="Calibri"/>
          <w:sz w:val="22"/>
        </w:rPr>
        <w:t xml:space="preserve">further claimed that after </w:t>
      </w:r>
      <w:r w:rsidR="009E4C46" w:rsidRPr="00FF31CD">
        <w:rPr>
          <w:rFonts w:ascii="Calibri" w:hAnsi="Calibri" w:cs="Calibri"/>
          <w:sz w:val="22"/>
        </w:rPr>
        <w:t xml:space="preserve">complaining, </w:t>
      </w:r>
      <w:r w:rsidR="00FD7DD5" w:rsidRPr="00FF31CD">
        <w:rPr>
          <w:rFonts w:ascii="Calibri" w:hAnsi="Calibri" w:cs="Calibri"/>
          <w:sz w:val="22"/>
        </w:rPr>
        <w:t xml:space="preserve">the defendants retaliated by preventing his access to his storage unit. However, the court granted CubeSmart's motion to dismiss the case because </w:t>
      </w:r>
      <w:r w:rsidR="009E4C46" w:rsidRPr="00FF31CD">
        <w:rPr>
          <w:rFonts w:ascii="Calibri" w:hAnsi="Calibri" w:cs="Calibri"/>
          <w:sz w:val="22"/>
        </w:rPr>
        <w:t xml:space="preserve">Arogant </w:t>
      </w:r>
      <w:r w:rsidR="00FD7DD5" w:rsidRPr="00FF31CD">
        <w:rPr>
          <w:rFonts w:ascii="Calibri" w:hAnsi="Calibri" w:cs="Calibri"/>
          <w:sz w:val="22"/>
        </w:rPr>
        <w:t xml:space="preserve">Hollywood failed to state a plausible claim for relief under the ADA. The court found that </w:t>
      </w:r>
      <w:r w:rsidR="009E4C46" w:rsidRPr="00FF31CD">
        <w:rPr>
          <w:rFonts w:ascii="Calibri" w:hAnsi="Calibri" w:cs="Calibri"/>
          <w:sz w:val="22"/>
        </w:rPr>
        <w:t xml:space="preserve">Arogant </w:t>
      </w:r>
      <w:r w:rsidR="00FD7DD5" w:rsidRPr="00FF31CD">
        <w:rPr>
          <w:rFonts w:ascii="Calibri" w:hAnsi="Calibri" w:cs="Calibri"/>
          <w:sz w:val="22"/>
        </w:rPr>
        <w:t xml:space="preserve">Hollywood's allegations lacked sufficient specificity and failed to establish discrimination under the ADA. Additionally, his actions, including contacting CubeSmart executives on their personal phones and threatening lawsuits, did not constitute protected activity under the ADA. Therefore, the court dismissed </w:t>
      </w:r>
      <w:r w:rsidR="009E4C46" w:rsidRPr="00FF31CD">
        <w:rPr>
          <w:rFonts w:ascii="Calibri" w:hAnsi="Calibri" w:cs="Calibri"/>
          <w:sz w:val="22"/>
        </w:rPr>
        <w:t xml:space="preserve">Arogant </w:t>
      </w:r>
      <w:r w:rsidR="00FD7DD5" w:rsidRPr="00FF31CD">
        <w:rPr>
          <w:rFonts w:ascii="Calibri" w:hAnsi="Calibri" w:cs="Calibri"/>
          <w:sz w:val="22"/>
        </w:rPr>
        <w:t>Hollywood's claims for discrimination and retaliation. The court's decision highlights the importance of providing specific and credible allegations when claiming ADA violations and retaliation, as well as the limitations of pro se litigants in navigating complex legal issues.</w:t>
      </w:r>
    </w:p>
    <w:p w14:paraId="1650ACC9" w14:textId="77777777" w:rsidR="00CF603C" w:rsidRPr="00FF31CD" w:rsidRDefault="00CF603C" w:rsidP="00CF603C">
      <w:pPr>
        <w:pStyle w:val="ListParagraph"/>
        <w:ind w:left="900" w:firstLine="0"/>
        <w:rPr>
          <w:rFonts w:ascii="Calibri" w:hAnsi="Calibri" w:cs="Calibri"/>
          <w:sz w:val="22"/>
        </w:rPr>
      </w:pPr>
    </w:p>
    <w:p w14:paraId="26895478" w14:textId="0D016590" w:rsidR="00CD4654" w:rsidRPr="00FF31CD" w:rsidRDefault="006A42C5" w:rsidP="008F0555">
      <w:pPr>
        <w:pStyle w:val="ListParagraph"/>
        <w:numPr>
          <w:ilvl w:val="0"/>
          <w:numId w:val="1"/>
        </w:numPr>
        <w:rPr>
          <w:rFonts w:ascii="Calibri" w:hAnsi="Calibri" w:cs="Calibri"/>
          <w:sz w:val="22"/>
        </w:rPr>
      </w:pPr>
      <w:r w:rsidRPr="00FF31CD">
        <w:rPr>
          <w:rFonts w:ascii="Calibri" w:hAnsi="Calibri" w:cs="Calibri"/>
          <w:b/>
          <w:bCs/>
          <w:sz w:val="22"/>
        </w:rPr>
        <w:t xml:space="preserve">Washburn v. Mesquite Gaming, LLC, </w:t>
      </w:r>
      <w:r w:rsidRPr="00FF31CD">
        <w:rPr>
          <w:rFonts w:ascii="Calibri" w:hAnsi="Calibri" w:cs="Calibri"/>
          <w:sz w:val="22"/>
        </w:rPr>
        <w:t>No.</w:t>
      </w:r>
      <w:r w:rsidRPr="00FF31CD">
        <w:rPr>
          <w:rFonts w:ascii="Calibri" w:hAnsi="Calibri" w:cs="Calibri"/>
          <w:b/>
          <w:bCs/>
          <w:sz w:val="22"/>
        </w:rPr>
        <w:t xml:space="preserve"> </w:t>
      </w:r>
      <w:r w:rsidRPr="00FF31CD">
        <w:rPr>
          <w:rFonts w:ascii="Calibri" w:hAnsi="Calibri" w:cs="Calibri"/>
          <w:sz w:val="22"/>
        </w:rPr>
        <w:t>2:24-cv-00383-CDS-BNW</w:t>
      </w:r>
      <w:r w:rsidR="00B6521C" w:rsidRPr="00FF31CD">
        <w:rPr>
          <w:rFonts w:ascii="Calibri" w:hAnsi="Calibri" w:cs="Calibri"/>
          <w:sz w:val="22"/>
        </w:rPr>
        <w:t xml:space="preserve"> U.S. Dist. Ct., D. Nevada (06/10/2024).</w:t>
      </w:r>
      <w:r w:rsidR="009D07F3" w:rsidRPr="00FF31CD">
        <w:rPr>
          <w:rFonts w:ascii="Calibri" w:hAnsi="Calibri" w:cs="Calibri"/>
          <w:sz w:val="22"/>
        </w:rPr>
        <w:t xml:space="preserve"> Plaintiff, a guest of the </w:t>
      </w:r>
      <w:r w:rsidR="0057078F" w:rsidRPr="00FF31CD">
        <w:rPr>
          <w:rFonts w:ascii="Calibri" w:hAnsi="Calibri" w:cs="Calibri"/>
          <w:sz w:val="22"/>
        </w:rPr>
        <w:t>Virgin River Hotel and Casino, owned and operated by the defendant</w:t>
      </w:r>
      <w:r w:rsidR="00FF0359" w:rsidRPr="00FF31CD">
        <w:rPr>
          <w:rFonts w:ascii="Calibri" w:hAnsi="Calibri" w:cs="Calibri"/>
          <w:sz w:val="22"/>
        </w:rPr>
        <w:t xml:space="preserve"> in Nevada, </w:t>
      </w:r>
      <w:r w:rsidR="00AD7D30" w:rsidRPr="00FF31CD">
        <w:rPr>
          <w:rFonts w:ascii="Calibri" w:hAnsi="Calibri" w:cs="Calibri"/>
          <w:sz w:val="22"/>
        </w:rPr>
        <w:t xml:space="preserve">is hearing </w:t>
      </w:r>
      <w:r w:rsidR="0021165D" w:rsidRPr="00FF31CD">
        <w:rPr>
          <w:rFonts w:ascii="Calibri" w:hAnsi="Calibri" w:cs="Calibri"/>
          <w:sz w:val="22"/>
        </w:rPr>
        <w:t>impaired</w:t>
      </w:r>
      <w:r w:rsidR="00AD7D30" w:rsidRPr="00FF31CD">
        <w:rPr>
          <w:rFonts w:ascii="Calibri" w:hAnsi="Calibri" w:cs="Calibri"/>
          <w:sz w:val="22"/>
        </w:rPr>
        <w:t xml:space="preserve"> and relies on a service animal, a dog. The plaintiff claimed that the hotel violated the ADA and Nevada </w:t>
      </w:r>
      <w:r w:rsidR="0021165D" w:rsidRPr="00FF31CD">
        <w:rPr>
          <w:rFonts w:ascii="Calibri" w:hAnsi="Calibri" w:cs="Calibri"/>
          <w:sz w:val="22"/>
        </w:rPr>
        <w:t>state</w:t>
      </w:r>
      <w:r w:rsidR="00AD7D30" w:rsidRPr="00FF31CD">
        <w:rPr>
          <w:rFonts w:ascii="Calibri" w:hAnsi="Calibri" w:cs="Calibri"/>
          <w:sz w:val="22"/>
        </w:rPr>
        <w:t xml:space="preserve"> laws by discriminating </w:t>
      </w:r>
      <w:r w:rsidR="0021165D" w:rsidRPr="00FF31CD">
        <w:rPr>
          <w:rFonts w:ascii="Calibri" w:hAnsi="Calibri" w:cs="Calibri"/>
          <w:sz w:val="22"/>
        </w:rPr>
        <w:t>against</w:t>
      </w:r>
      <w:r w:rsidR="00AD7D30" w:rsidRPr="00FF31CD">
        <w:rPr>
          <w:rFonts w:ascii="Calibri" w:hAnsi="Calibri" w:cs="Calibri"/>
          <w:sz w:val="22"/>
        </w:rPr>
        <w:t xml:space="preserve"> him due to his disability and </w:t>
      </w:r>
      <w:r w:rsidR="0021165D" w:rsidRPr="00FF31CD">
        <w:rPr>
          <w:rFonts w:ascii="Calibri" w:hAnsi="Calibri" w:cs="Calibri"/>
          <w:sz w:val="22"/>
        </w:rPr>
        <w:t>service</w:t>
      </w:r>
      <w:r w:rsidR="00AD7D30" w:rsidRPr="00FF31CD">
        <w:rPr>
          <w:rFonts w:ascii="Calibri" w:hAnsi="Calibri" w:cs="Calibri"/>
          <w:sz w:val="22"/>
        </w:rPr>
        <w:t xml:space="preserve"> animal needs. </w:t>
      </w:r>
      <w:r w:rsidR="0021165D" w:rsidRPr="00FF31CD">
        <w:rPr>
          <w:rFonts w:ascii="Calibri" w:hAnsi="Calibri" w:cs="Calibri"/>
          <w:sz w:val="22"/>
        </w:rPr>
        <w:t xml:space="preserve"> Plaintiff allege</w:t>
      </w:r>
      <w:r w:rsidR="008C687B" w:rsidRPr="00FF31CD">
        <w:rPr>
          <w:rFonts w:ascii="Calibri" w:hAnsi="Calibri" w:cs="Calibri"/>
          <w:sz w:val="22"/>
        </w:rPr>
        <w:t>d</w:t>
      </w:r>
      <w:r w:rsidR="0021165D" w:rsidRPr="00FF31CD">
        <w:rPr>
          <w:rFonts w:ascii="Calibri" w:hAnsi="Calibri" w:cs="Calibri"/>
          <w:sz w:val="22"/>
        </w:rPr>
        <w:t xml:space="preserve"> that the hotel segregated gues</w:t>
      </w:r>
      <w:r w:rsidR="008C687B" w:rsidRPr="00FF31CD">
        <w:rPr>
          <w:rFonts w:ascii="Calibri" w:hAnsi="Calibri" w:cs="Calibri"/>
          <w:sz w:val="22"/>
        </w:rPr>
        <w:t>ts</w:t>
      </w:r>
      <w:r w:rsidR="0021165D" w:rsidRPr="00FF31CD">
        <w:rPr>
          <w:rFonts w:ascii="Calibri" w:hAnsi="Calibri" w:cs="Calibri"/>
          <w:sz w:val="22"/>
        </w:rPr>
        <w:t xml:space="preserve"> with disabilities who have service animals to a specific building on the hotel property and prevented him from using the hotel’s pool area while accompanied by his service animal.</w:t>
      </w:r>
      <w:r w:rsidR="008C687B" w:rsidRPr="00FF31CD">
        <w:rPr>
          <w:rFonts w:ascii="Calibri" w:hAnsi="Calibri" w:cs="Calibri"/>
          <w:sz w:val="22"/>
        </w:rPr>
        <w:t xml:space="preserve"> The plaintiff sought injunctive relief. </w:t>
      </w:r>
      <w:r w:rsidR="0021165D" w:rsidRPr="00FF31CD">
        <w:rPr>
          <w:rFonts w:ascii="Calibri" w:hAnsi="Calibri" w:cs="Calibri"/>
          <w:sz w:val="22"/>
        </w:rPr>
        <w:t xml:space="preserve"> The court granted the defendant’s motion to dismiss primarily on the grounds that the plaintiff lacked standing </w:t>
      </w:r>
      <w:r w:rsidR="00E46547" w:rsidRPr="00FF31CD">
        <w:rPr>
          <w:rFonts w:ascii="Calibri" w:hAnsi="Calibri" w:cs="Calibri"/>
          <w:sz w:val="22"/>
        </w:rPr>
        <w:t xml:space="preserve">under Article III of the U.S. Constitution. </w:t>
      </w:r>
      <w:r w:rsidR="008C687B" w:rsidRPr="00FF31CD">
        <w:rPr>
          <w:rFonts w:ascii="Calibri" w:hAnsi="Calibri" w:cs="Calibri"/>
          <w:sz w:val="22"/>
        </w:rPr>
        <w:t>Although</w:t>
      </w:r>
      <w:r w:rsidR="00E46547" w:rsidRPr="00FF31CD">
        <w:rPr>
          <w:rFonts w:ascii="Calibri" w:hAnsi="Calibri" w:cs="Calibri"/>
          <w:sz w:val="22"/>
        </w:rPr>
        <w:t xml:space="preserve"> the plaintiff adequately alleged the hotel’s actions were discriminat</w:t>
      </w:r>
      <w:r w:rsidR="00660B57" w:rsidRPr="00FF31CD">
        <w:rPr>
          <w:rFonts w:ascii="Calibri" w:hAnsi="Calibri" w:cs="Calibri"/>
          <w:sz w:val="22"/>
        </w:rPr>
        <w:t>ory</w:t>
      </w:r>
      <w:r w:rsidR="00E46547" w:rsidRPr="00FF31CD">
        <w:rPr>
          <w:rFonts w:ascii="Calibri" w:hAnsi="Calibri" w:cs="Calibri"/>
          <w:sz w:val="22"/>
        </w:rPr>
        <w:t xml:space="preserve"> under the ADA, he failed to demonstrate a real and immediate threat of future injury, which is necessary for standing in cases seeking </w:t>
      </w:r>
      <w:r w:rsidR="008C687B" w:rsidRPr="00FF31CD">
        <w:rPr>
          <w:rFonts w:ascii="Calibri" w:hAnsi="Calibri" w:cs="Calibri"/>
          <w:sz w:val="22"/>
        </w:rPr>
        <w:t>injunctive</w:t>
      </w:r>
      <w:r w:rsidR="00E46547" w:rsidRPr="00FF31CD">
        <w:rPr>
          <w:rFonts w:ascii="Calibri" w:hAnsi="Calibri" w:cs="Calibri"/>
          <w:sz w:val="22"/>
        </w:rPr>
        <w:t xml:space="preserve"> relief under the ADA</w:t>
      </w:r>
      <w:r w:rsidR="008C687B" w:rsidRPr="00FF31CD">
        <w:rPr>
          <w:rFonts w:ascii="Calibri" w:hAnsi="Calibri" w:cs="Calibri"/>
          <w:sz w:val="22"/>
        </w:rPr>
        <w:t>. The case was dismissed without prejudice and the plaintiff will have an opportunity to amend the complaint so long as he participates in a settlement conference before filing any new complaint.</w:t>
      </w:r>
    </w:p>
    <w:p w14:paraId="58BA7506" w14:textId="77777777" w:rsidR="00CD4654" w:rsidRPr="00FF31CD" w:rsidRDefault="00CD4654" w:rsidP="00CD4654">
      <w:pPr>
        <w:pStyle w:val="ListParagraph"/>
        <w:ind w:left="1080" w:firstLine="0"/>
        <w:rPr>
          <w:rFonts w:ascii="Calibri" w:hAnsi="Calibri" w:cs="Calibri"/>
          <w:sz w:val="22"/>
        </w:rPr>
      </w:pPr>
    </w:p>
    <w:p w14:paraId="2C70DCBE" w14:textId="6F530155" w:rsidR="00CD4654" w:rsidRPr="00FF31CD" w:rsidRDefault="008C687B" w:rsidP="00345033">
      <w:pPr>
        <w:pStyle w:val="ListParagraph"/>
        <w:numPr>
          <w:ilvl w:val="0"/>
          <w:numId w:val="1"/>
        </w:numPr>
        <w:rPr>
          <w:rFonts w:ascii="Calibri" w:hAnsi="Calibri" w:cs="Calibri"/>
          <w:sz w:val="22"/>
        </w:rPr>
      </w:pPr>
      <w:r w:rsidRPr="00FF31CD">
        <w:rPr>
          <w:rFonts w:ascii="Calibri" w:hAnsi="Calibri" w:cs="Calibri"/>
          <w:sz w:val="22"/>
        </w:rPr>
        <w:t xml:space="preserve"> </w:t>
      </w:r>
      <w:r w:rsidR="00557B52" w:rsidRPr="00FF31CD">
        <w:rPr>
          <w:rFonts w:ascii="Calibri" w:hAnsi="Calibri" w:cs="Calibri"/>
          <w:b/>
          <w:bCs/>
          <w:sz w:val="22"/>
        </w:rPr>
        <w:t>Goodman v. Coolve</w:t>
      </w:r>
      <w:r w:rsidR="006957CF" w:rsidRPr="00FF31CD">
        <w:rPr>
          <w:rFonts w:ascii="Calibri" w:hAnsi="Calibri" w:cs="Calibri"/>
          <w:b/>
          <w:bCs/>
          <w:sz w:val="22"/>
        </w:rPr>
        <w:t>s</w:t>
      </w:r>
      <w:r w:rsidR="00557B52" w:rsidRPr="00FF31CD">
        <w:rPr>
          <w:rFonts w:ascii="Calibri" w:hAnsi="Calibri" w:cs="Calibri"/>
          <w:b/>
          <w:bCs/>
          <w:sz w:val="22"/>
        </w:rPr>
        <w:t xml:space="preserve">tment LLC, </w:t>
      </w:r>
      <w:r w:rsidR="00557B52" w:rsidRPr="00FF31CD">
        <w:rPr>
          <w:rFonts w:ascii="Calibri" w:hAnsi="Calibri" w:cs="Calibri"/>
          <w:sz w:val="22"/>
        </w:rPr>
        <w:t>No. 3:23-cv-05456-TMC</w:t>
      </w:r>
      <w:r w:rsidR="006957CF" w:rsidRPr="00FF31CD">
        <w:rPr>
          <w:rFonts w:ascii="Calibri" w:hAnsi="Calibri" w:cs="Calibri"/>
          <w:sz w:val="22"/>
        </w:rPr>
        <w:t xml:space="preserve"> U.S. Dist. Ct. W.D. Washington, Tacoma (05/03/2024). T</w:t>
      </w:r>
      <w:r w:rsidR="00CD4654" w:rsidRPr="00FF31CD">
        <w:rPr>
          <w:rFonts w:ascii="Calibri" w:hAnsi="Calibri" w:cs="Calibri"/>
          <w:sz w:val="22"/>
        </w:rPr>
        <w:t xml:space="preserve">he </w:t>
      </w:r>
      <w:r w:rsidR="00FD6956" w:rsidRPr="00FF31CD">
        <w:rPr>
          <w:rFonts w:ascii="Calibri" w:hAnsi="Calibri" w:cs="Calibri"/>
          <w:sz w:val="22"/>
        </w:rPr>
        <w:t>plaintiff</w:t>
      </w:r>
      <w:r w:rsidR="00CD4654" w:rsidRPr="00FF31CD">
        <w:rPr>
          <w:rFonts w:ascii="Calibri" w:hAnsi="Calibri" w:cs="Calibri"/>
          <w:sz w:val="22"/>
        </w:rPr>
        <w:t xml:space="preserve"> sued Coolvestment LLC under the Washington Law Against Discrimination (WLAD) for denying her hotel accommodation at a Days Inn in Vancouver, Washington, because she refused to pay a fee for her service dog. </w:t>
      </w:r>
      <w:r w:rsidR="006957CF" w:rsidRPr="00FF31CD">
        <w:rPr>
          <w:rFonts w:ascii="Calibri" w:hAnsi="Calibri" w:cs="Calibri"/>
          <w:sz w:val="22"/>
        </w:rPr>
        <w:t xml:space="preserve"> The plaintiff, </w:t>
      </w:r>
      <w:r w:rsidR="00CD4654" w:rsidRPr="00FF31CD">
        <w:rPr>
          <w:rFonts w:ascii="Calibri" w:hAnsi="Calibri" w:cs="Calibri"/>
          <w:sz w:val="22"/>
        </w:rPr>
        <w:t xml:space="preserve">who has impaired hearing and uses a service dog, alleged that the hotel manager, Nirav Patel, insisted on charging a pet fee despite her informing him that the dog was a service animal. When she refused to pay, Patel allegedly became hostile and denied her accommodation. </w:t>
      </w:r>
      <w:r w:rsidR="006957CF" w:rsidRPr="00FF31CD">
        <w:rPr>
          <w:rFonts w:ascii="Calibri" w:hAnsi="Calibri" w:cs="Calibri"/>
          <w:sz w:val="22"/>
        </w:rPr>
        <w:t xml:space="preserve">The defendant </w:t>
      </w:r>
      <w:r w:rsidR="00CD4654" w:rsidRPr="00FF31CD">
        <w:rPr>
          <w:rFonts w:ascii="Calibri" w:hAnsi="Calibri" w:cs="Calibri"/>
          <w:sz w:val="22"/>
        </w:rPr>
        <w:t xml:space="preserve">moved for summary judgment, arguing that </w:t>
      </w:r>
      <w:r w:rsidR="006957CF" w:rsidRPr="00FF31CD">
        <w:rPr>
          <w:rFonts w:ascii="Calibri" w:hAnsi="Calibri" w:cs="Calibri"/>
          <w:sz w:val="22"/>
        </w:rPr>
        <w:t>the plaintiff</w:t>
      </w:r>
      <w:r w:rsidR="00CD4654" w:rsidRPr="00FF31CD">
        <w:rPr>
          <w:rFonts w:ascii="Calibri" w:hAnsi="Calibri" w:cs="Calibri"/>
          <w:sz w:val="22"/>
        </w:rPr>
        <w:t xml:space="preserve"> could not prove discrimination because she did not actually pay the fee and because there were conflicting testimonies regarding the incident. However, the court denied the motion, finding that </w:t>
      </w:r>
      <w:r w:rsidR="00CD4654" w:rsidRPr="00FF31CD">
        <w:rPr>
          <w:rFonts w:ascii="Calibri" w:hAnsi="Calibri" w:cs="Calibri"/>
          <w:sz w:val="22"/>
        </w:rPr>
        <w:lastRenderedPageBreak/>
        <w:t xml:space="preserve">genuine disputes of material fact existed, particularly around whether Patel attempted to charge the fee and whether Goodman was denied accommodation as a result. The court emphasized that under the WLAD, discrimination includes both the attempt to impose a discriminatory </w:t>
      </w:r>
      <w:r w:rsidR="006957CF" w:rsidRPr="00FF31CD">
        <w:rPr>
          <w:rFonts w:ascii="Calibri" w:hAnsi="Calibri" w:cs="Calibri"/>
          <w:sz w:val="22"/>
        </w:rPr>
        <w:t>charge,</w:t>
      </w:r>
      <w:r w:rsidR="00CD4654" w:rsidRPr="00FF31CD">
        <w:rPr>
          <w:rFonts w:ascii="Calibri" w:hAnsi="Calibri" w:cs="Calibri"/>
          <w:sz w:val="22"/>
        </w:rPr>
        <w:t xml:space="preserve"> and the denial of public accommodation based on disability. </w:t>
      </w:r>
      <w:r w:rsidR="006957CF" w:rsidRPr="00FF31CD">
        <w:rPr>
          <w:rFonts w:ascii="Calibri" w:hAnsi="Calibri" w:cs="Calibri"/>
          <w:sz w:val="22"/>
        </w:rPr>
        <w:t>T</w:t>
      </w:r>
      <w:r w:rsidR="00CD4654" w:rsidRPr="00FF31CD">
        <w:rPr>
          <w:rFonts w:ascii="Calibri" w:hAnsi="Calibri" w:cs="Calibri"/>
          <w:sz w:val="22"/>
        </w:rPr>
        <w:t>hese factual disputes must be resolved by a jury.</w:t>
      </w:r>
    </w:p>
    <w:p w14:paraId="02C32FF0" w14:textId="77777777" w:rsidR="00FB71E3" w:rsidRPr="00FF31CD" w:rsidRDefault="00FB71E3" w:rsidP="00FB71E3">
      <w:pPr>
        <w:pStyle w:val="ListParagraph"/>
        <w:ind w:left="1080" w:firstLine="0"/>
        <w:rPr>
          <w:rFonts w:ascii="Calibri" w:hAnsi="Calibri" w:cs="Calibri"/>
          <w:sz w:val="22"/>
        </w:rPr>
      </w:pPr>
    </w:p>
    <w:p w14:paraId="3FCC6F0F" w14:textId="78F07735" w:rsidR="00FB71E3" w:rsidRPr="00FF31CD" w:rsidRDefault="00AC388B" w:rsidP="00345033">
      <w:pPr>
        <w:pStyle w:val="ListParagraph"/>
        <w:numPr>
          <w:ilvl w:val="0"/>
          <w:numId w:val="1"/>
        </w:numPr>
        <w:rPr>
          <w:rFonts w:ascii="Calibri" w:hAnsi="Calibri" w:cs="Calibri"/>
          <w:sz w:val="22"/>
        </w:rPr>
      </w:pPr>
      <w:r w:rsidRPr="00FF31CD">
        <w:rPr>
          <w:rFonts w:ascii="Calibri" w:hAnsi="Calibri" w:cs="Calibri"/>
          <w:b/>
          <w:bCs/>
          <w:sz w:val="22"/>
        </w:rPr>
        <w:t>Hernandez v. Courtyard by Marriott Sacramento et al</w:t>
      </w:r>
      <w:r w:rsidRPr="00FF31CD">
        <w:rPr>
          <w:rFonts w:ascii="Calibri" w:hAnsi="Calibri" w:cs="Calibri"/>
          <w:sz w:val="22"/>
        </w:rPr>
        <w:t>, 2024 WL 4520145 (E.D.CA, 2024).  Plaintiff is a physically disabled person who was a guest at defendant hotel.  He encountered accessibility barriers at the hotel and sued.  The parties settled their dispute.  In this lawsuit plaintiff seeks attorney’s fees of $53,236.27, and an additional amount of $10,788.77 in costs and litigation expenses. After lengthy discussion of compensable attorney’s fees, the court awarded $49,029 in attorney’s fees, and $6,209.77 in costs and expenses.</w:t>
      </w:r>
    </w:p>
    <w:p w14:paraId="039FEF72" w14:textId="77777777" w:rsidR="00CD4654" w:rsidRPr="00FF31CD" w:rsidRDefault="00CD4654" w:rsidP="00CD4654">
      <w:pPr>
        <w:pStyle w:val="ListParagraph"/>
        <w:ind w:left="1080" w:firstLine="0"/>
        <w:rPr>
          <w:rFonts w:ascii="Calibri" w:hAnsi="Calibri" w:cs="Calibri"/>
          <w:sz w:val="22"/>
        </w:rPr>
      </w:pPr>
    </w:p>
    <w:p w14:paraId="5976DAE9" w14:textId="44762514" w:rsidR="00470F20" w:rsidRPr="00FF31CD" w:rsidRDefault="00D256AB">
      <w:pPr>
        <w:rPr>
          <w:rFonts w:ascii="Calibri" w:hAnsi="Calibri" w:cs="Calibri"/>
          <w:b/>
          <w:bCs/>
          <w:sz w:val="24"/>
          <w:szCs w:val="24"/>
        </w:rPr>
      </w:pPr>
      <w:r w:rsidRPr="00FF31CD">
        <w:rPr>
          <w:rFonts w:ascii="Calibri" w:hAnsi="Calibri" w:cs="Calibri"/>
          <w:b/>
          <w:bCs/>
          <w:sz w:val="24"/>
          <w:szCs w:val="24"/>
        </w:rPr>
        <w:t>Arbitration</w:t>
      </w:r>
    </w:p>
    <w:p w14:paraId="75EBDFE4" w14:textId="457FA8E4" w:rsidR="00313859" w:rsidRPr="00FF31CD" w:rsidRDefault="00313859" w:rsidP="008F0555">
      <w:pPr>
        <w:pStyle w:val="ListParagraph"/>
        <w:numPr>
          <w:ilvl w:val="0"/>
          <w:numId w:val="1"/>
        </w:numPr>
        <w:rPr>
          <w:rFonts w:ascii="Calibri" w:hAnsi="Calibri" w:cs="Calibri"/>
          <w:sz w:val="22"/>
        </w:rPr>
      </w:pPr>
      <w:r w:rsidRPr="00FF31CD">
        <w:rPr>
          <w:rFonts w:ascii="Calibri" w:hAnsi="Calibri" w:cs="Calibri"/>
          <w:b/>
          <w:bCs/>
          <w:sz w:val="22"/>
        </w:rPr>
        <w:t>Reid v. Café Habana Nola, LLC</w:t>
      </w:r>
      <w:r w:rsidRPr="00FF31CD">
        <w:rPr>
          <w:rFonts w:ascii="Calibri" w:hAnsi="Calibri" w:cs="Calibri"/>
          <w:b/>
          <w:bCs/>
          <w:szCs w:val="24"/>
        </w:rPr>
        <w:t xml:space="preserve">, </w:t>
      </w:r>
      <w:r w:rsidRPr="00FF31CD">
        <w:rPr>
          <w:rFonts w:ascii="Calibri" w:hAnsi="Calibri" w:cs="Calibri"/>
          <w:sz w:val="22"/>
        </w:rPr>
        <w:t>No. 23-7201 U.S. District Court, E.D. LA (05/07/</w:t>
      </w:r>
      <w:r w:rsidR="00633EA5" w:rsidRPr="00FF31CD">
        <w:rPr>
          <w:rFonts w:ascii="Calibri" w:hAnsi="Calibri" w:cs="Calibri"/>
          <w:sz w:val="22"/>
        </w:rPr>
        <w:t>2024</w:t>
      </w:r>
      <w:r w:rsidRPr="00FF31CD">
        <w:rPr>
          <w:rFonts w:ascii="Calibri" w:hAnsi="Calibri" w:cs="Calibri"/>
          <w:sz w:val="22"/>
        </w:rPr>
        <w:t>).  Chelsea Reid filed a lawsuit against Cafe Habana Nola, LLC, alleging discriminatory termination of her employment.</w:t>
      </w:r>
      <w:r w:rsidR="00C134AB" w:rsidRPr="00FF31CD">
        <w:rPr>
          <w:rFonts w:ascii="Calibri" w:hAnsi="Calibri" w:cs="Calibri"/>
          <w:sz w:val="22"/>
        </w:rPr>
        <w:t xml:space="preserve"> Defendant</w:t>
      </w:r>
      <w:r w:rsidRPr="00FF31CD">
        <w:rPr>
          <w:rFonts w:ascii="Calibri" w:hAnsi="Calibri" w:cs="Calibri"/>
          <w:sz w:val="22"/>
        </w:rPr>
        <w:t xml:space="preserve"> filed a motion to compel arbitration, arguing that </w:t>
      </w:r>
      <w:r w:rsidR="00C134AB" w:rsidRPr="00FF31CD">
        <w:rPr>
          <w:rFonts w:ascii="Calibri" w:hAnsi="Calibri" w:cs="Calibri"/>
          <w:sz w:val="22"/>
        </w:rPr>
        <w:t>plaintiff</w:t>
      </w:r>
      <w:r w:rsidRPr="00FF31CD">
        <w:rPr>
          <w:rFonts w:ascii="Calibri" w:hAnsi="Calibri" w:cs="Calibri"/>
          <w:sz w:val="22"/>
        </w:rPr>
        <w:t xml:space="preserve"> was bound by an arbitration agreement posted on its website. </w:t>
      </w:r>
      <w:r w:rsidR="00C134AB" w:rsidRPr="00FF31CD">
        <w:rPr>
          <w:rFonts w:ascii="Calibri" w:hAnsi="Calibri" w:cs="Calibri"/>
          <w:sz w:val="22"/>
        </w:rPr>
        <w:t>Plaintiff</w:t>
      </w:r>
      <w:r w:rsidRPr="00FF31CD">
        <w:rPr>
          <w:rFonts w:ascii="Calibri" w:hAnsi="Calibri" w:cs="Calibri"/>
          <w:sz w:val="22"/>
        </w:rPr>
        <w:t xml:space="preserve"> opposed the motion. The court denied </w:t>
      </w:r>
      <w:r w:rsidR="00C134AB" w:rsidRPr="00FF31CD">
        <w:rPr>
          <w:rFonts w:ascii="Calibri" w:hAnsi="Calibri" w:cs="Calibri"/>
          <w:sz w:val="22"/>
        </w:rPr>
        <w:t>Defendant’s mo</w:t>
      </w:r>
      <w:r w:rsidRPr="00FF31CD">
        <w:rPr>
          <w:rFonts w:ascii="Calibri" w:hAnsi="Calibri" w:cs="Calibri"/>
          <w:sz w:val="22"/>
        </w:rPr>
        <w:t xml:space="preserve">tion, stating that Louisiana law governed the determination of whether a valid arbitration agreement existed. Under Louisiana law, a contract is formed by the consent of the parties through offer and acceptance. The court found that </w:t>
      </w:r>
      <w:r w:rsidR="00C134AB" w:rsidRPr="00FF31CD">
        <w:rPr>
          <w:rFonts w:ascii="Calibri" w:hAnsi="Calibri" w:cs="Calibri"/>
          <w:sz w:val="22"/>
        </w:rPr>
        <w:t>plaintiff</w:t>
      </w:r>
      <w:r w:rsidRPr="00FF31CD">
        <w:rPr>
          <w:rFonts w:ascii="Calibri" w:hAnsi="Calibri" w:cs="Calibri"/>
          <w:sz w:val="22"/>
        </w:rPr>
        <w:t xml:space="preserve"> did not manifest consent to the arbitration agreement by merely viewing a hyperlink to it on the website and later using information from the website in salary negotiations. Since </w:t>
      </w:r>
      <w:r w:rsidR="00E00197" w:rsidRPr="00FF31CD">
        <w:rPr>
          <w:rFonts w:ascii="Calibri" w:hAnsi="Calibri" w:cs="Calibri"/>
          <w:sz w:val="22"/>
        </w:rPr>
        <w:t>plaintiff</w:t>
      </w:r>
      <w:r w:rsidRPr="00FF31CD">
        <w:rPr>
          <w:rFonts w:ascii="Calibri" w:hAnsi="Calibri" w:cs="Calibri"/>
          <w:sz w:val="22"/>
        </w:rPr>
        <w:t xml:space="preserve"> did not submit an online job application containing the arbitration agreement, the court concluded that there was no manifestation of consent to arbitration. Therefore, the court denied </w:t>
      </w:r>
      <w:r w:rsidR="00E00197" w:rsidRPr="00FF31CD">
        <w:rPr>
          <w:rFonts w:ascii="Calibri" w:hAnsi="Calibri" w:cs="Calibri"/>
          <w:sz w:val="22"/>
        </w:rPr>
        <w:t>the defendant’s</w:t>
      </w:r>
      <w:r w:rsidRPr="00FF31CD">
        <w:rPr>
          <w:rFonts w:ascii="Calibri" w:hAnsi="Calibri" w:cs="Calibri"/>
          <w:sz w:val="22"/>
        </w:rPr>
        <w:t xml:space="preserve"> motion to compel arbitration and its motion to dismiss the complaint or stay the proceedings pending arbitration.</w:t>
      </w:r>
    </w:p>
    <w:p w14:paraId="06F3D205" w14:textId="77777777" w:rsidR="00AC388B" w:rsidRPr="00FF31CD" w:rsidRDefault="00AC388B" w:rsidP="00AC388B">
      <w:pPr>
        <w:pStyle w:val="ListParagraph"/>
        <w:ind w:left="1080" w:firstLine="0"/>
        <w:rPr>
          <w:rFonts w:ascii="Calibri" w:hAnsi="Calibri" w:cs="Calibri"/>
          <w:sz w:val="22"/>
        </w:rPr>
      </w:pPr>
    </w:p>
    <w:p w14:paraId="385B6305" w14:textId="488DED82" w:rsidR="000F1081" w:rsidRPr="00FF31CD" w:rsidRDefault="000F1081" w:rsidP="00E51203">
      <w:pPr>
        <w:pStyle w:val="ListParagraph"/>
        <w:numPr>
          <w:ilvl w:val="0"/>
          <w:numId w:val="1"/>
        </w:numPr>
        <w:rPr>
          <w:rFonts w:ascii="Calibri" w:hAnsi="Calibri" w:cs="Calibri"/>
          <w:sz w:val="22"/>
        </w:rPr>
      </w:pPr>
      <w:r w:rsidRPr="00FF31CD">
        <w:rPr>
          <w:rFonts w:ascii="Calibri" w:hAnsi="Calibri" w:cs="Calibri"/>
          <w:b/>
          <w:bCs/>
          <w:sz w:val="22"/>
        </w:rPr>
        <w:t>NY Hotel &amp; Gaming Trades Council, AFL-CIO v. CSC Hudson</w:t>
      </w:r>
      <w:r w:rsidRPr="00FF31CD">
        <w:rPr>
          <w:rFonts w:ascii="Calibri" w:hAnsi="Calibri" w:cs="Calibri"/>
          <w:sz w:val="22"/>
        </w:rPr>
        <w:t xml:space="preserve">, 2025 WL 80228 (S.D NY, 2025).  Defendants own and operate a building formerly known as the Hudson Hotel.  The hotel was converted into residential units.  During the process of closing the hotel, defendants entered a series of agreements with plaintiff union concerning rights of workers relating to the closure.  The hotel thereafter failed to honor its agreed obligations.  The matter was referred to arbitration which ended in a consent agreement, pursuant to which the hotel was to pay the union a total of $366,394.  Defendant has failed to honor the award.  In this lawsuit, the union seeks confirmation of the award and interest pre and post. The court treated the union’s request as akin to a motion for summary judgment. The court, finding no material issue of fact in dispute, and wanting to “settle disputes efficiently,” confirmed the arbitration award. </w:t>
      </w:r>
    </w:p>
    <w:p w14:paraId="29FBB4FF" w14:textId="77777777" w:rsidR="000F1081" w:rsidRPr="00FF31CD" w:rsidRDefault="000F1081" w:rsidP="000F1081">
      <w:pPr>
        <w:pStyle w:val="ListParagraph"/>
        <w:ind w:left="1080" w:firstLine="0"/>
        <w:rPr>
          <w:rFonts w:ascii="Calibri" w:hAnsi="Calibri" w:cs="Calibri"/>
          <w:sz w:val="22"/>
        </w:rPr>
      </w:pPr>
    </w:p>
    <w:p w14:paraId="4F9EDEEA" w14:textId="52247382" w:rsidR="00AC388B" w:rsidRPr="00FF31CD" w:rsidRDefault="000F1081" w:rsidP="000F1081">
      <w:pPr>
        <w:pStyle w:val="ListParagraph"/>
        <w:numPr>
          <w:ilvl w:val="0"/>
          <w:numId w:val="1"/>
        </w:numPr>
        <w:rPr>
          <w:rFonts w:ascii="Calibri" w:hAnsi="Calibri" w:cs="Calibri"/>
          <w:sz w:val="22"/>
        </w:rPr>
      </w:pPr>
      <w:r w:rsidRPr="00FF31CD">
        <w:rPr>
          <w:rFonts w:ascii="Calibri" w:hAnsi="Calibri" w:cs="Calibri"/>
          <w:b/>
          <w:bCs/>
          <w:sz w:val="22"/>
        </w:rPr>
        <w:t>Unite Here Local v. Chicago Hotel Collection</w:t>
      </w:r>
      <w:r w:rsidRPr="00FF31CD">
        <w:rPr>
          <w:rFonts w:ascii="Calibri" w:hAnsi="Calibri" w:cs="Calibri"/>
          <w:sz w:val="22"/>
        </w:rPr>
        <w:t>, 2025 WL 92535 (N.D. Ill., 2025).  A member of plaintiff union regularly carried a knife that he used at work for cutting down boxes and similar tasks.  His supervisor was aware that he carried the knife, notwithstanding that its possession violated an employer rule.  One day the worker had the knife in his hand and flicking it in a way that made another employee uncomfortable.  Police were called but they refused to arrest</w:t>
      </w:r>
      <w:r w:rsidR="00F80789" w:rsidRPr="00FF31CD">
        <w:rPr>
          <w:rFonts w:ascii="Calibri" w:hAnsi="Calibri" w:cs="Calibri"/>
          <w:sz w:val="22"/>
        </w:rPr>
        <w:t xml:space="preserve"> him.</w:t>
      </w:r>
      <w:r w:rsidRPr="00FF31CD">
        <w:rPr>
          <w:rFonts w:ascii="Calibri" w:hAnsi="Calibri" w:cs="Calibri"/>
          <w:sz w:val="22"/>
        </w:rPr>
        <w:t xml:space="preserve">  They confiscated the knife, and told the worker to use a fidget spinner instead. The defendant terminated the employee and he grieved his termination. The arbitrator </w:t>
      </w:r>
      <w:r w:rsidRPr="00FF31CD">
        <w:rPr>
          <w:rFonts w:ascii="Calibri" w:hAnsi="Calibri" w:cs="Calibri"/>
          <w:sz w:val="22"/>
        </w:rPr>
        <w:lastRenderedPageBreak/>
        <w:t>reinstated the worker with back pay, noting that the worker had not acted in a vicious and threatening manner, he worked for the hotel for 16 years without any disciplinary record, and management knew the worker carried the knife.  The employer contested the arbitrator’s ruling.  The court noted that judicial review of a labor arbitration decision is very limited.  Finding no violation of public policy by the arbitrator’s decision, the court affirmed.</w:t>
      </w:r>
    </w:p>
    <w:p w14:paraId="135CA529" w14:textId="77777777" w:rsidR="00E00197" w:rsidRPr="00FF31CD" w:rsidRDefault="00E00197" w:rsidP="00E00197">
      <w:pPr>
        <w:pStyle w:val="ListParagraph"/>
        <w:ind w:left="900" w:firstLine="0"/>
        <w:rPr>
          <w:rFonts w:ascii="Calibri" w:hAnsi="Calibri" w:cs="Calibri"/>
          <w:sz w:val="22"/>
        </w:rPr>
      </w:pPr>
    </w:p>
    <w:p w14:paraId="08FFC93F" w14:textId="38755355" w:rsidR="00386421" w:rsidRPr="00FF31CD" w:rsidRDefault="00386421">
      <w:pPr>
        <w:rPr>
          <w:rFonts w:ascii="Calibri" w:hAnsi="Calibri" w:cs="Calibri"/>
          <w:b/>
          <w:bCs/>
          <w:sz w:val="24"/>
          <w:szCs w:val="24"/>
        </w:rPr>
      </w:pPr>
      <w:r w:rsidRPr="00FF31CD">
        <w:rPr>
          <w:rFonts w:ascii="Calibri" w:hAnsi="Calibri" w:cs="Calibri"/>
          <w:b/>
          <w:bCs/>
          <w:sz w:val="24"/>
          <w:szCs w:val="24"/>
        </w:rPr>
        <w:t>Attorney Misconduct</w:t>
      </w:r>
    </w:p>
    <w:p w14:paraId="1F8768BC" w14:textId="6265DF1E" w:rsidR="00386421" w:rsidRPr="00FF31CD" w:rsidRDefault="00336A0F" w:rsidP="00386421">
      <w:pPr>
        <w:pStyle w:val="ListParagraph"/>
        <w:numPr>
          <w:ilvl w:val="0"/>
          <w:numId w:val="1"/>
        </w:numPr>
        <w:rPr>
          <w:rFonts w:ascii="Calibri" w:hAnsi="Calibri" w:cs="Calibri"/>
          <w:sz w:val="22"/>
        </w:rPr>
      </w:pPr>
      <w:r w:rsidRPr="00FF31CD">
        <w:rPr>
          <w:rFonts w:ascii="Calibri" w:hAnsi="Calibri" w:cs="Calibri"/>
          <w:b/>
          <w:bCs/>
          <w:sz w:val="22"/>
        </w:rPr>
        <w:t>Paley v. Nobu Restaurant</w:t>
      </w:r>
      <w:r w:rsidRPr="00FF31CD">
        <w:rPr>
          <w:rFonts w:ascii="Calibri" w:hAnsi="Calibri" w:cs="Calibri"/>
          <w:sz w:val="22"/>
        </w:rPr>
        <w:t>, 2025 WL 1014244 (Sup. Crt., NV, 4/1/2025).  Plaintiff became ill after eating at defendant restaurant.  The jury returned a verdict of no liability and plaintiff appeals.  Plaintiff claims defendant’s attorney’s misconduct requires a retrial.  Defendant argued affirmative defenses of comparative fault and assumption of risk due to a warning on the menu regarding the dangers of eating raw or undercooked fish.  Based on the lack of evidence to support either theory, the court instructed defendant’s attorney not to mention any fault on plaintiff’s part during closing statements.  Nonetheless, the attorney twice referenced the warning on the menu.  The court took two remedial steps – verbally admonishing Nobu’s attorney in a bench conference, and issuing a jury instruction not to consider any fault or assumption of risk on plaintiff’s part.  The court ruled the attorney’s two references to the menu warning was not so egregious that the admonishment and jury instructions could not remove any adverse effect.  The verdict was therefore affirmed.</w:t>
      </w:r>
    </w:p>
    <w:p w14:paraId="5FA3C16D" w14:textId="3BBD6D51" w:rsidR="00B671F1" w:rsidRPr="00FF31CD" w:rsidRDefault="00B671F1" w:rsidP="00B671F1">
      <w:pPr>
        <w:rPr>
          <w:rFonts w:ascii="Calibri" w:hAnsi="Calibri" w:cs="Calibri"/>
          <w:b/>
          <w:bCs/>
          <w:sz w:val="24"/>
          <w:szCs w:val="24"/>
        </w:rPr>
      </w:pPr>
      <w:r w:rsidRPr="00FF31CD">
        <w:rPr>
          <w:rFonts w:ascii="Calibri" w:hAnsi="Calibri" w:cs="Calibri"/>
          <w:b/>
          <w:bCs/>
          <w:sz w:val="24"/>
          <w:szCs w:val="24"/>
        </w:rPr>
        <w:t>Casinos</w:t>
      </w:r>
    </w:p>
    <w:p w14:paraId="7AB314C9" w14:textId="22F7042C" w:rsidR="00156CBF" w:rsidRPr="00FF31CD" w:rsidRDefault="00156CBF" w:rsidP="001645DA">
      <w:pPr>
        <w:pStyle w:val="ydpef9f26d9yiv7620069848xydp682cc61fmsonormal"/>
        <w:numPr>
          <w:ilvl w:val="0"/>
          <w:numId w:val="1"/>
        </w:numPr>
        <w:jc w:val="both"/>
        <w:rPr>
          <w:rFonts w:asciiTheme="minorHAnsi" w:hAnsiTheme="minorHAnsi" w:cstheme="minorHAnsi"/>
          <w:color w:val="26282A"/>
          <w:sz w:val="22"/>
          <w:szCs w:val="22"/>
        </w:rPr>
      </w:pPr>
      <w:r w:rsidRPr="00FF31CD">
        <w:rPr>
          <w:rFonts w:asciiTheme="minorHAnsi" w:hAnsiTheme="minorHAnsi" w:cstheme="minorHAnsi"/>
          <w:b/>
          <w:bCs/>
          <w:color w:val="26282A"/>
          <w:sz w:val="22"/>
          <w:szCs w:val="22"/>
        </w:rPr>
        <w:t>Antar v. BetMGM, LLC, et al</w:t>
      </w:r>
      <w:r w:rsidRPr="00FF31CD">
        <w:rPr>
          <w:rFonts w:asciiTheme="minorHAnsi" w:hAnsiTheme="minorHAnsi" w:cstheme="minorHAnsi"/>
          <w:b/>
          <w:bCs/>
          <w:i/>
          <w:iCs/>
          <w:color w:val="26282A"/>
          <w:sz w:val="22"/>
          <w:szCs w:val="22"/>
        </w:rPr>
        <w:t>,</w:t>
      </w:r>
      <w:r w:rsidRPr="00FF31CD">
        <w:rPr>
          <w:rFonts w:asciiTheme="minorHAnsi" w:hAnsiTheme="minorHAnsi" w:cstheme="minorHAnsi"/>
          <w:color w:val="26282A"/>
          <w:sz w:val="22"/>
          <w:szCs w:val="22"/>
        </w:rPr>
        <w:t xml:space="preserve"> 2025 WL 1219316 (3</w:t>
      </w:r>
      <w:r w:rsidRPr="00FF31CD">
        <w:rPr>
          <w:rFonts w:asciiTheme="minorHAnsi" w:hAnsiTheme="minorHAnsi" w:cstheme="minorHAnsi"/>
          <w:color w:val="26282A"/>
          <w:sz w:val="22"/>
          <w:szCs w:val="22"/>
          <w:vertAlign w:val="superscript"/>
        </w:rPr>
        <w:t>rd</w:t>
      </w:r>
      <w:r w:rsidRPr="00FF31CD">
        <w:rPr>
          <w:rFonts w:asciiTheme="minorHAnsi" w:hAnsiTheme="minorHAnsi" w:cstheme="minorHAnsi"/>
          <w:color w:val="26282A"/>
          <w:sz w:val="22"/>
          <w:szCs w:val="22"/>
        </w:rPr>
        <w:t xml:space="preserve"> Cir., 2025).  Plaintiff is a self-described problem gambler.  Defendant casinos offered plaintiff various VIP memberships, bonuses, incentives, and promotions to encourage him to continue to gamble.  The casinos also assigned him a designated host whose job it was to retain member customers.   In total, plaintiff gambled more than $24 million.  He sued for negligence, arguing that defendants knew he was a problem gambler but nonetheless relentlessly enticed him to gamble, thus causing plaintiff financial, personal and professional ruin.  Noting that a negligence case requires proof of a duty owed by defendant to plaintiff, the court dismissed plaintiff’s case.  As stated in the decision, “[C]ourts across the country that have considered the issue have </w:t>
      </w:r>
      <w:r w:rsidR="00E027A8" w:rsidRPr="00FF31CD">
        <w:rPr>
          <w:rFonts w:asciiTheme="minorHAnsi" w:hAnsiTheme="minorHAnsi" w:cstheme="minorHAnsi"/>
          <w:color w:val="26282A"/>
          <w:sz w:val="22"/>
          <w:szCs w:val="22"/>
        </w:rPr>
        <w:t xml:space="preserve"> </w:t>
      </w:r>
      <w:r w:rsidRPr="00FF31CD">
        <w:rPr>
          <w:rFonts w:asciiTheme="minorHAnsi" w:hAnsiTheme="minorHAnsi" w:cstheme="minorHAnsi"/>
          <w:color w:val="26282A"/>
          <w:sz w:val="22"/>
          <w:szCs w:val="22"/>
        </w:rPr>
        <w:t>uniformly rejected imposing such a duty on casinos.”  Additionally, the appeals court noted that the New Jersey legislature limited private claims intentionally to balance the “dual purposes of protection of gambling patrons and the protection of the financial viability of the casino industry.”</w:t>
      </w:r>
    </w:p>
    <w:p w14:paraId="503762B1" w14:textId="0C158491" w:rsidR="00E0109F" w:rsidRPr="00FF31CD" w:rsidRDefault="007B6E9B">
      <w:pPr>
        <w:rPr>
          <w:rFonts w:ascii="Calibri" w:hAnsi="Calibri" w:cs="Calibri"/>
          <w:b/>
          <w:bCs/>
          <w:sz w:val="24"/>
          <w:szCs w:val="24"/>
        </w:rPr>
      </w:pPr>
      <w:r w:rsidRPr="00FF31CD">
        <w:rPr>
          <w:rFonts w:ascii="Calibri" w:hAnsi="Calibri" w:cs="Calibri"/>
          <w:b/>
          <w:bCs/>
          <w:sz w:val="24"/>
          <w:szCs w:val="24"/>
        </w:rPr>
        <w:t>C</w:t>
      </w:r>
      <w:r w:rsidR="00E0109F" w:rsidRPr="00FF31CD">
        <w:rPr>
          <w:rFonts w:ascii="Calibri" w:hAnsi="Calibri" w:cs="Calibri"/>
          <w:b/>
          <w:bCs/>
          <w:sz w:val="24"/>
          <w:szCs w:val="24"/>
        </w:rPr>
        <w:t>lass Actions</w:t>
      </w:r>
    </w:p>
    <w:p w14:paraId="4FBD8E7F" w14:textId="48DFD569" w:rsidR="00E0109F" w:rsidRPr="00FF31CD" w:rsidRDefault="00604EE8" w:rsidP="008F0555">
      <w:pPr>
        <w:pStyle w:val="ListParagraph"/>
        <w:numPr>
          <w:ilvl w:val="0"/>
          <w:numId w:val="1"/>
        </w:numPr>
        <w:rPr>
          <w:rFonts w:ascii="Calibri" w:hAnsi="Calibri" w:cs="Calibri"/>
          <w:sz w:val="22"/>
        </w:rPr>
      </w:pPr>
      <w:r w:rsidRPr="00FF31CD">
        <w:rPr>
          <w:rFonts w:ascii="Calibri" w:hAnsi="Calibri" w:cs="Calibri"/>
          <w:b/>
          <w:bCs/>
          <w:sz w:val="22"/>
        </w:rPr>
        <w:t xml:space="preserve">In Re: Marriott International Customer Data Security Breach Litigation, </w:t>
      </w:r>
      <w:r w:rsidRPr="00FF31CD">
        <w:rPr>
          <w:rFonts w:ascii="Calibri" w:hAnsi="Calibri" w:cs="Calibri"/>
          <w:sz w:val="22"/>
        </w:rPr>
        <w:t>MDL No. 19-md-2879, U.S. District Court, D. Maryland (11/29/</w:t>
      </w:r>
      <w:r w:rsidR="00BE5B41" w:rsidRPr="00FF31CD">
        <w:rPr>
          <w:rFonts w:ascii="Calibri" w:hAnsi="Calibri" w:cs="Calibri"/>
          <w:sz w:val="22"/>
        </w:rPr>
        <w:t>20</w:t>
      </w:r>
      <w:r w:rsidRPr="00FF31CD">
        <w:rPr>
          <w:rFonts w:ascii="Calibri" w:hAnsi="Calibri" w:cs="Calibri"/>
          <w:sz w:val="22"/>
        </w:rPr>
        <w:t xml:space="preserve">23). </w:t>
      </w:r>
      <w:r w:rsidR="00290544" w:rsidRPr="00FF31CD">
        <w:rPr>
          <w:rFonts w:ascii="Calibri" w:hAnsi="Calibri" w:cs="Calibri"/>
          <w:sz w:val="22"/>
        </w:rPr>
        <w:t xml:space="preserve">This case, In re: Marriott International Customer Data Security Breach Litigation, involves a massive data breach at Marriott International. Hackers accessed guest reservation data, affecting approximately 133.7 million guest records. Numerous consumer lawsuits were filed against Marriott, alleging negligence and breach of contract and statutory duties. These actions were consolidated into multi-district litigation in Maryland. The plaintiffs sought class certification, which was initially granted but later vacated by the Fourth Circuit due to a class-action waiver provision in Marriott's terms and conditions. However, the district court found that Marriott waived this provision due to its actions inconsistent with individual handling of claims. The court also </w:t>
      </w:r>
      <w:r w:rsidR="00290544" w:rsidRPr="00FF31CD">
        <w:rPr>
          <w:rFonts w:ascii="Calibri" w:hAnsi="Calibri" w:cs="Calibri"/>
          <w:sz w:val="22"/>
        </w:rPr>
        <w:lastRenderedPageBreak/>
        <w:t xml:space="preserve">ruled that the provision conflicted with </w:t>
      </w:r>
      <w:r w:rsidR="006F128F" w:rsidRPr="00FF31CD">
        <w:rPr>
          <w:rFonts w:ascii="Calibri" w:hAnsi="Calibri" w:cs="Calibri"/>
          <w:sz w:val="22"/>
        </w:rPr>
        <w:t>the Federal</w:t>
      </w:r>
      <w:r w:rsidR="00290544" w:rsidRPr="00FF31CD">
        <w:rPr>
          <w:rFonts w:ascii="Calibri" w:hAnsi="Calibri" w:cs="Calibri"/>
          <w:sz w:val="22"/>
        </w:rPr>
        <w:t xml:space="preserve"> Rules of Civil Procedure, and therefore, class certification was reinstated for both Marriott and Accenture, the third-party IT service provider.</w:t>
      </w:r>
    </w:p>
    <w:p w14:paraId="3C683AB3" w14:textId="77777777" w:rsidR="004E2F46" w:rsidRPr="00FF31CD" w:rsidRDefault="004E2F46" w:rsidP="00DB1BD8">
      <w:pPr>
        <w:pStyle w:val="ListParagraph"/>
        <w:ind w:left="900" w:firstLine="0"/>
        <w:rPr>
          <w:rFonts w:ascii="Calibri" w:hAnsi="Calibri" w:cs="Calibri"/>
          <w:b/>
          <w:bCs/>
          <w:sz w:val="22"/>
        </w:rPr>
      </w:pPr>
    </w:p>
    <w:p w14:paraId="0880EFFF" w14:textId="77777777" w:rsidR="00F534F1" w:rsidRPr="00FF31CD" w:rsidRDefault="00DB1BD8" w:rsidP="00DB1BD8">
      <w:pPr>
        <w:rPr>
          <w:rFonts w:ascii="Calibri" w:hAnsi="Calibri" w:cs="Calibri"/>
          <w:b/>
          <w:bCs/>
          <w:sz w:val="24"/>
          <w:szCs w:val="24"/>
        </w:rPr>
      </w:pPr>
      <w:r w:rsidRPr="00FF31CD">
        <w:rPr>
          <w:rFonts w:ascii="Calibri" w:hAnsi="Calibri" w:cs="Calibri"/>
          <w:b/>
          <w:bCs/>
          <w:sz w:val="24"/>
          <w:szCs w:val="24"/>
        </w:rPr>
        <w:t>Co</w:t>
      </w:r>
      <w:r w:rsidR="00F534F1" w:rsidRPr="00FF31CD">
        <w:rPr>
          <w:rFonts w:ascii="Calibri" w:hAnsi="Calibri" w:cs="Calibri"/>
          <w:b/>
          <w:bCs/>
          <w:sz w:val="24"/>
          <w:szCs w:val="24"/>
        </w:rPr>
        <w:t>ntracts</w:t>
      </w:r>
    </w:p>
    <w:p w14:paraId="60E313A4" w14:textId="32E1F82C" w:rsidR="00F81B3A" w:rsidRPr="00FF31CD" w:rsidRDefault="00F81B3A" w:rsidP="00F81B3A">
      <w:pPr>
        <w:pStyle w:val="ListParagraph"/>
        <w:numPr>
          <w:ilvl w:val="0"/>
          <w:numId w:val="1"/>
        </w:numPr>
        <w:rPr>
          <w:rFonts w:ascii="Calibri" w:hAnsi="Calibri" w:cs="Calibri"/>
          <w:b/>
          <w:bCs/>
          <w:sz w:val="22"/>
        </w:rPr>
      </w:pPr>
      <w:r w:rsidRPr="00FF31CD">
        <w:rPr>
          <w:rFonts w:ascii="Calibri" w:hAnsi="Calibri" w:cs="Calibri"/>
          <w:b/>
          <w:bCs/>
          <w:sz w:val="22"/>
        </w:rPr>
        <w:t xml:space="preserve">Virgin Hotels San Francisco, LLC v. 250 Fourth Development, LP, </w:t>
      </w:r>
      <w:r w:rsidRPr="00FF31CD">
        <w:rPr>
          <w:rFonts w:ascii="Calibri" w:hAnsi="Calibri" w:cs="Calibri"/>
          <w:sz w:val="22"/>
        </w:rPr>
        <w:t>2024 WL 4175183 (CA, Appls Crt, 2024).  Pursuant to a Hotel Management Agreement, plaintiff  agreed to manage defendant’s hotel for 20 years in exchange for a management fee.  Despite a rocky start and postponement of the hotel’s opening date several times, the hotel received favorable reviews in industry periodicals and was progressing well.  Defendant became concerned when many employees sought to unionize, and the pandemic was on the horizon, so defendant attempted to terminate the management contract.  Plaintiff sued for breach of contract seeking specific performance or</w:t>
      </w:r>
      <w:r w:rsidR="00FD6956" w:rsidRPr="00FF31CD">
        <w:rPr>
          <w:rFonts w:ascii="Calibri" w:hAnsi="Calibri" w:cs="Calibri"/>
          <w:sz w:val="22"/>
        </w:rPr>
        <w:t>, alternatively</w:t>
      </w:r>
      <w:r w:rsidRPr="00FF31CD">
        <w:rPr>
          <w:rFonts w:ascii="Calibri" w:hAnsi="Calibri" w:cs="Calibri"/>
          <w:sz w:val="22"/>
        </w:rPr>
        <w:t>, expectancy damages. In the answer, defendant alleged, with little evidence, that plaintiff breached its contract, committed fraud, and violated its fiduciary duty and the covenant of good faith.  Following a 13-day bench trial, the court noted a lack of proof of plaintiff’s non-performance, and further noted that the hotel reached the two operating income benchmarks required by the agreement.  The court thus awarded plaintiff expected fees in the amount of $9.7 million and denied defendant’s motion for a new trial.</w:t>
      </w:r>
      <w:r w:rsidRPr="00FF31CD">
        <w:rPr>
          <w:rFonts w:ascii="Calibri" w:hAnsi="Calibri" w:cs="Calibri"/>
          <w:b/>
          <w:bCs/>
          <w:sz w:val="22"/>
        </w:rPr>
        <w:t xml:space="preserve"> </w:t>
      </w:r>
    </w:p>
    <w:p w14:paraId="02755B04" w14:textId="77777777" w:rsidR="00F81B3A" w:rsidRPr="00FF31CD" w:rsidRDefault="00F81B3A" w:rsidP="00F81B3A">
      <w:pPr>
        <w:pStyle w:val="ListParagraph"/>
        <w:ind w:left="1080" w:firstLine="0"/>
        <w:rPr>
          <w:rFonts w:ascii="Calibri" w:hAnsi="Calibri" w:cs="Calibri"/>
          <w:b/>
          <w:bCs/>
          <w:sz w:val="22"/>
        </w:rPr>
      </w:pPr>
    </w:p>
    <w:p w14:paraId="5E503A44" w14:textId="77777777" w:rsidR="00F81B3A" w:rsidRPr="00FF31CD" w:rsidRDefault="00F81B3A" w:rsidP="00F81B3A">
      <w:pPr>
        <w:pStyle w:val="ListParagraph"/>
        <w:numPr>
          <w:ilvl w:val="0"/>
          <w:numId w:val="1"/>
        </w:numPr>
        <w:rPr>
          <w:rFonts w:ascii="Calibri" w:hAnsi="Calibri" w:cs="Calibri"/>
          <w:sz w:val="22"/>
        </w:rPr>
      </w:pPr>
      <w:r w:rsidRPr="00FF31CD">
        <w:rPr>
          <w:rFonts w:ascii="Calibri" w:hAnsi="Calibri" w:cs="Calibri"/>
          <w:b/>
          <w:bCs/>
          <w:sz w:val="22"/>
        </w:rPr>
        <w:t xml:space="preserve">Bre Hotels &amp; Resorts LLC v. Ace American Insurance Co., </w:t>
      </w:r>
      <w:r w:rsidRPr="00FF31CD">
        <w:rPr>
          <w:rFonts w:ascii="Calibri" w:hAnsi="Calibri" w:cs="Calibri"/>
          <w:sz w:val="22"/>
        </w:rPr>
        <w:t>2024 WL 4145665 (D. HI, 2024). Two of plaintiff’s hotels suffered damage during a rainstorm.  Defendant insurance company paid some of the claims but tens of millions of dollars remain in dispute.  Plaintiff claims $7.1 million to replace all the tiles at one of the facilities because large portions of the tile system were damaged, and replacement would result in nonmatching tiles which would be unsightly.  The insurance company contends that the tiles had preexisting defects and deterioration, and further, the insurance contract does not cover aesthetic uniformity.  The court determined the latter issue involves interpretation of the contract and thus is a question of law.  However, if a determination is made that the damage was preexisting, the issue of contract interpretation is moot.   The insurance contract specified a form of arbitration to resolve questions of fact.  The court thus referred the case to arbitration to address the issue of the origin of the damage.</w:t>
      </w:r>
    </w:p>
    <w:p w14:paraId="1AD3CFE8" w14:textId="77777777" w:rsidR="00F81B3A" w:rsidRPr="00FF31CD" w:rsidRDefault="00F81B3A" w:rsidP="00F81B3A">
      <w:pPr>
        <w:pStyle w:val="ListParagraph"/>
        <w:rPr>
          <w:rFonts w:ascii="Calibri" w:hAnsi="Calibri" w:cs="Calibri"/>
          <w:sz w:val="22"/>
        </w:rPr>
      </w:pPr>
    </w:p>
    <w:p w14:paraId="368EEBB0" w14:textId="4DFF15C7" w:rsidR="00992881" w:rsidRPr="00FF31CD" w:rsidRDefault="00F81B3A" w:rsidP="00F81B3A">
      <w:pPr>
        <w:pStyle w:val="ListParagraph"/>
        <w:numPr>
          <w:ilvl w:val="0"/>
          <w:numId w:val="1"/>
        </w:numPr>
        <w:rPr>
          <w:rFonts w:ascii="Calibri" w:hAnsi="Calibri" w:cs="Calibri"/>
          <w:sz w:val="22"/>
        </w:rPr>
      </w:pPr>
      <w:r w:rsidRPr="00FF31CD">
        <w:rPr>
          <w:rFonts w:ascii="Calibri" w:hAnsi="Calibri" w:cs="Calibri"/>
          <w:b/>
          <w:bCs/>
          <w:sz w:val="22"/>
        </w:rPr>
        <w:t>Sky Harbor Atlanta Northeast, LLC v. Affiliated FM Insurance Co</w:t>
      </w:r>
      <w:r w:rsidRPr="00FF31CD">
        <w:rPr>
          <w:rFonts w:ascii="Calibri" w:hAnsi="Calibri" w:cs="Calibri"/>
          <w:sz w:val="22"/>
        </w:rPr>
        <w:t xml:space="preserve">., 2024 WL 4370727 (11th Cir., 2024).  Plaintiff hotel seeks insurance coverage for extensive water and mold damage discovered during renovations.  The parties do not dispute that rainwater and water vapor intruded into the building, wetting various features of the interior structure.  Among the features that were damaged within the interior wall cavity were the electrical wiring and the drywall.  Replacing them requires removing guestroom walls, interior furnishings, and the building’s brick veneer, causing renovation expenses in the millions of dollars.  The insurance company claims damage from the rain was de minimis </w:t>
      </w:r>
      <w:r w:rsidR="008F69B4" w:rsidRPr="00FF31CD">
        <w:rPr>
          <w:rFonts w:ascii="Calibri" w:hAnsi="Calibri" w:cs="Calibri"/>
          <w:sz w:val="22"/>
        </w:rPr>
        <w:t>only because</w:t>
      </w:r>
      <w:r w:rsidRPr="00FF31CD">
        <w:rPr>
          <w:rFonts w:ascii="Calibri" w:hAnsi="Calibri" w:cs="Calibri"/>
          <w:sz w:val="22"/>
        </w:rPr>
        <w:t xml:space="preserve"> the hotel’s damaged features were already wet and moldy when plaintiffs purchased the hotel and the policy began.  The court determined a reasonable jury could find for either party, and the central issue is one of fact – the degree of damage, if any, suffered by the building during the policy period.  The appeals court thus reversed summary judgment in favor of plaintiff and remanded the case for trial.</w:t>
      </w:r>
    </w:p>
    <w:p w14:paraId="73288DD3" w14:textId="77777777" w:rsidR="000E31D9" w:rsidRPr="00FF31CD" w:rsidRDefault="000E31D9" w:rsidP="000E31D9">
      <w:pPr>
        <w:pStyle w:val="ListParagraph"/>
        <w:rPr>
          <w:rFonts w:ascii="Calibri" w:hAnsi="Calibri" w:cs="Calibri"/>
          <w:sz w:val="22"/>
        </w:rPr>
      </w:pPr>
    </w:p>
    <w:p w14:paraId="73CF4F77" w14:textId="7B4BCB03" w:rsidR="000E31D9" w:rsidRPr="00FF31CD" w:rsidRDefault="00CA7A0F" w:rsidP="00E17F21">
      <w:pPr>
        <w:pStyle w:val="ListParagraph"/>
        <w:numPr>
          <w:ilvl w:val="0"/>
          <w:numId w:val="1"/>
        </w:numPr>
        <w:ind w:firstLine="0"/>
        <w:rPr>
          <w:rFonts w:ascii="Calibri" w:hAnsi="Calibri" w:cs="Calibri"/>
          <w:sz w:val="22"/>
        </w:rPr>
      </w:pPr>
      <w:r w:rsidRPr="00FF31CD">
        <w:rPr>
          <w:rFonts w:ascii="Calibri" w:hAnsi="Calibri" w:cs="Calibri"/>
          <w:b/>
          <w:bCs/>
          <w:sz w:val="22"/>
        </w:rPr>
        <w:lastRenderedPageBreak/>
        <w:t>Kramer v. Bailey Restaurant Group, et al</w:t>
      </w:r>
      <w:r w:rsidRPr="00FF31CD">
        <w:rPr>
          <w:rFonts w:ascii="Calibri" w:hAnsi="Calibri" w:cs="Calibri"/>
          <w:sz w:val="22"/>
        </w:rPr>
        <w:t>, 223 AD3d 410 (NY, 01/04/2024). Plaintiff was exiting The Bailey through its revolving door when she fell and injured herself due to the sudden drop in elevation(approximately six inches) between the door and the sidewalk. Defendant’s lease with the property owner limited the restaurant’s duties concerning the door to general cleaning and to ensure that the door remained free of obstructions. The restaurant stated it had not made any structural changes or repairs to the door. In addition, the landlord had put warning stickers on the revolving door.  The court affirmed summary judgment in favor of the restaurant.</w:t>
      </w:r>
    </w:p>
    <w:p w14:paraId="148EA407" w14:textId="77777777" w:rsidR="00F81B3A" w:rsidRPr="00FF31CD" w:rsidRDefault="00F81B3A" w:rsidP="00F81B3A">
      <w:pPr>
        <w:pStyle w:val="ListParagraph"/>
        <w:ind w:left="1080" w:firstLine="0"/>
        <w:rPr>
          <w:rFonts w:ascii="Calibri" w:hAnsi="Calibri" w:cs="Calibri"/>
          <w:szCs w:val="24"/>
        </w:rPr>
      </w:pPr>
    </w:p>
    <w:p w14:paraId="112B2C4C" w14:textId="38B321F3" w:rsidR="00DB1BD8" w:rsidRPr="00FF31CD" w:rsidRDefault="00F534F1" w:rsidP="00DB1BD8">
      <w:pPr>
        <w:rPr>
          <w:rFonts w:ascii="Calibri" w:hAnsi="Calibri" w:cs="Calibri"/>
          <w:b/>
          <w:bCs/>
          <w:sz w:val="24"/>
          <w:szCs w:val="24"/>
        </w:rPr>
      </w:pPr>
      <w:r w:rsidRPr="00FF31CD">
        <w:rPr>
          <w:rFonts w:ascii="Calibri" w:hAnsi="Calibri" w:cs="Calibri"/>
          <w:b/>
          <w:bCs/>
          <w:sz w:val="24"/>
          <w:szCs w:val="24"/>
        </w:rPr>
        <w:t>Co</w:t>
      </w:r>
      <w:r w:rsidR="00DB1BD8" w:rsidRPr="00FF31CD">
        <w:rPr>
          <w:rFonts w:ascii="Calibri" w:hAnsi="Calibri" w:cs="Calibri"/>
          <w:b/>
          <w:bCs/>
          <w:sz w:val="24"/>
          <w:szCs w:val="24"/>
        </w:rPr>
        <w:t>pyright Infringement</w:t>
      </w:r>
    </w:p>
    <w:p w14:paraId="4BEDDD08" w14:textId="0B03262A" w:rsidR="00DB1BD8" w:rsidRPr="00FF31CD" w:rsidRDefault="001A47FF" w:rsidP="008F0555">
      <w:pPr>
        <w:pStyle w:val="ListParagraph"/>
        <w:numPr>
          <w:ilvl w:val="0"/>
          <w:numId w:val="1"/>
        </w:numPr>
        <w:rPr>
          <w:rFonts w:ascii="Calibri" w:hAnsi="Calibri" w:cs="Calibri"/>
          <w:sz w:val="22"/>
        </w:rPr>
      </w:pPr>
      <w:r w:rsidRPr="00FF31CD">
        <w:rPr>
          <w:rFonts w:ascii="Calibri" w:hAnsi="Calibri" w:cs="Calibri"/>
          <w:b/>
          <w:bCs/>
          <w:sz w:val="22"/>
        </w:rPr>
        <w:t>Khachatryan</w:t>
      </w:r>
      <w:r w:rsidR="000A0062" w:rsidRPr="00FF31CD">
        <w:rPr>
          <w:rFonts w:ascii="Calibri" w:hAnsi="Calibri" w:cs="Calibri"/>
          <w:b/>
          <w:bCs/>
          <w:sz w:val="22"/>
        </w:rPr>
        <w:t>, et al</w:t>
      </w:r>
      <w:r w:rsidR="00CB7328" w:rsidRPr="00FF31CD">
        <w:rPr>
          <w:rFonts w:ascii="Calibri" w:hAnsi="Calibri" w:cs="Calibri"/>
          <w:b/>
          <w:bCs/>
          <w:sz w:val="22"/>
        </w:rPr>
        <w:t xml:space="preserve"> </w:t>
      </w:r>
      <w:r w:rsidR="008B3D3F" w:rsidRPr="00FF31CD">
        <w:rPr>
          <w:rFonts w:ascii="Calibri" w:hAnsi="Calibri" w:cs="Calibri"/>
          <w:b/>
          <w:bCs/>
          <w:sz w:val="22"/>
        </w:rPr>
        <w:t xml:space="preserve"> v. 1 Hotel W Hollywood,</w:t>
      </w:r>
      <w:r w:rsidR="00CB7328" w:rsidRPr="00FF31CD">
        <w:rPr>
          <w:rFonts w:ascii="Calibri" w:hAnsi="Calibri" w:cs="Calibri"/>
          <w:b/>
          <w:bCs/>
          <w:sz w:val="22"/>
        </w:rPr>
        <w:t xml:space="preserve"> LLC, </w:t>
      </w:r>
      <w:r w:rsidR="00CB7328" w:rsidRPr="00FF31CD">
        <w:rPr>
          <w:rFonts w:ascii="Calibri" w:hAnsi="Calibri" w:cs="Calibri"/>
          <w:sz w:val="22"/>
        </w:rPr>
        <w:t>Case No.</w:t>
      </w:r>
      <w:r w:rsidR="008B3D3F" w:rsidRPr="00FF31CD">
        <w:rPr>
          <w:rFonts w:ascii="Calibri" w:hAnsi="Calibri" w:cs="Calibri"/>
          <w:b/>
          <w:bCs/>
          <w:sz w:val="22"/>
        </w:rPr>
        <w:t xml:space="preserve"> </w:t>
      </w:r>
      <w:r w:rsidR="008B3D3F" w:rsidRPr="00FF31CD">
        <w:rPr>
          <w:rFonts w:ascii="Calibri" w:hAnsi="Calibri" w:cs="Calibri"/>
          <w:sz w:val="22"/>
        </w:rPr>
        <w:t>223</w:t>
      </w:r>
      <w:r w:rsidR="00CB7328" w:rsidRPr="00FF31CD">
        <w:rPr>
          <w:rFonts w:ascii="Calibri" w:hAnsi="Calibri" w:cs="Calibri"/>
          <w:sz w:val="22"/>
        </w:rPr>
        <w:t>-c</w:t>
      </w:r>
      <w:r w:rsidR="008B3D3F" w:rsidRPr="00FF31CD">
        <w:rPr>
          <w:rFonts w:ascii="Calibri" w:hAnsi="Calibri" w:cs="Calibri"/>
          <w:sz w:val="22"/>
        </w:rPr>
        <w:t>v</w:t>
      </w:r>
      <w:r w:rsidR="00CB7328" w:rsidRPr="00FF31CD">
        <w:rPr>
          <w:rFonts w:ascii="Calibri" w:hAnsi="Calibri" w:cs="Calibri"/>
          <w:sz w:val="22"/>
        </w:rPr>
        <w:t>-</w:t>
      </w:r>
      <w:r w:rsidR="008B3D3F" w:rsidRPr="00FF31CD">
        <w:rPr>
          <w:rFonts w:ascii="Calibri" w:hAnsi="Calibri" w:cs="Calibri"/>
          <w:sz w:val="22"/>
        </w:rPr>
        <w:t>10829</w:t>
      </w:r>
      <w:r w:rsidR="00CB7328" w:rsidRPr="00FF31CD">
        <w:rPr>
          <w:rFonts w:ascii="Calibri" w:hAnsi="Calibri" w:cs="Calibri"/>
          <w:sz w:val="22"/>
        </w:rPr>
        <w:t xml:space="preserve"> O</w:t>
      </w:r>
      <w:r w:rsidR="008B3D3F" w:rsidRPr="00FF31CD">
        <w:rPr>
          <w:rFonts w:ascii="Calibri" w:hAnsi="Calibri" w:cs="Calibri"/>
          <w:sz w:val="22"/>
        </w:rPr>
        <w:t xml:space="preserve">DW </w:t>
      </w:r>
      <w:r w:rsidR="00CB7328" w:rsidRPr="00FF31CD">
        <w:rPr>
          <w:rFonts w:ascii="Calibri" w:hAnsi="Calibri" w:cs="Calibri"/>
          <w:sz w:val="22"/>
        </w:rPr>
        <w:t>(</w:t>
      </w:r>
      <w:r w:rsidR="008B3D3F" w:rsidRPr="00FF31CD">
        <w:rPr>
          <w:rFonts w:ascii="Calibri" w:hAnsi="Calibri" w:cs="Calibri"/>
          <w:sz w:val="22"/>
        </w:rPr>
        <w:t>Ex</w:t>
      </w:r>
      <w:r w:rsidR="00CB7328" w:rsidRPr="00FF31CD">
        <w:rPr>
          <w:rFonts w:ascii="Calibri" w:hAnsi="Calibri" w:cs="Calibri"/>
          <w:sz w:val="22"/>
        </w:rPr>
        <w:t>)</w:t>
      </w:r>
      <w:r w:rsidR="008B3D3F" w:rsidRPr="00FF31CD">
        <w:rPr>
          <w:rFonts w:ascii="Calibri" w:hAnsi="Calibri" w:cs="Calibri"/>
          <w:sz w:val="22"/>
        </w:rPr>
        <w:t xml:space="preserve"> (C.D. Cal </w:t>
      </w:r>
      <w:r w:rsidR="00F51412" w:rsidRPr="00FF31CD">
        <w:rPr>
          <w:rFonts w:ascii="Calibri" w:hAnsi="Calibri" w:cs="Calibri"/>
          <w:sz w:val="22"/>
        </w:rPr>
        <w:t xml:space="preserve">06/14/2024). </w:t>
      </w:r>
      <w:r w:rsidR="00DF5B89" w:rsidRPr="00FF31CD">
        <w:rPr>
          <w:rFonts w:ascii="Calibri" w:hAnsi="Calibri" w:cs="Calibri"/>
          <w:sz w:val="22"/>
        </w:rPr>
        <w:t xml:space="preserve">On January 3, 2021, </w:t>
      </w:r>
      <w:r w:rsidR="00317AB2" w:rsidRPr="00FF31CD">
        <w:rPr>
          <w:rFonts w:ascii="Calibri" w:hAnsi="Calibri" w:cs="Calibri"/>
          <w:sz w:val="22"/>
        </w:rPr>
        <w:t xml:space="preserve">a photo was posted on an Instagram account </w:t>
      </w:r>
      <w:r w:rsidR="00405991" w:rsidRPr="00FF31CD">
        <w:rPr>
          <w:rFonts w:ascii="Calibri" w:hAnsi="Calibri" w:cs="Calibri"/>
          <w:sz w:val="22"/>
        </w:rPr>
        <w:t xml:space="preserve">of @brave_johnson </w:t>
      </w:r>
      <w:r w:rsidR="00317AB2" w:rsidRPr="00FF31CD">
        <w:rPr>
          <w:rFonts w:ascii="Calibri" w:hAnsi="Calibri" w:cs="Calibri"/>
          <w:sz w:val="22"/>
        </w:rPr>
        <w:t xml:space="preserve">taken at defendant’s hotel showing the </w:t>
      </w:r>
      <w:r w:rsidR="00897040" w:rsidRPr="00FF31CD">
        <w:rPr>
          <w:rFonts w:ascii="Calibri" w:hAnsi="Calibri" w:cs="Calibri"/>
          <w:sz w:val="22"/>
        </w:rPr>
        <w:t xml:space="preserve">minor </w:t>
      </w:r>
      <w:r w:rsidR="00317AB2" w:rsidRPr="00FF31CD">
        <w:rPr>
          <w:rFonts w:ascii="Calibri" w:hAnsi="Calibri" w:cs="Calibri"/>
          <w:sz w:val="22"/>
        </w:rPr>
        <w:t xml:space="preserve">plaintiffs standing by the pool in their 1 Hotel robes. </w:t>
      </w:r>
      <w:r w:rsidR="00BD39F6" w:rsidRPr="00FF31CD">
        <w:rPr>
          <w:rFonts w:ascii="Calibri" w:hAnsi="Calibri" w:cs="Calibri"/>
          <w:sz w:val="22"/>
        </w:rPr>
        <w:t>The defendant also allegedly posted the photo on</w:t>
      </w:r>
      <w:r w:rsidR="00026689" w:rsidRPr="00FF31CD">
        <w:rPr>
          <w:rFonts w:ascii="Calibri" w:hAnsi="Calibri" w:cs="Calibri"/>
          <w:sz w:val="22"/>
        </w:rPr>
        <w:t xml:space="preserve"> its</w:t>
      </w:r>
      <w:r w:rsidR="00897040" w:rsidRPr="00FF31CD">
        <w:rPr>
          <w:rFonts w:ascii="Calibri" w:hAnsi="Calibri" w:cs="Calibri"/>
          <w:sz w:val="22"/>
        </w:rPr>
        <w:t>’</w:t>
      </w:r>
      <w:r w:rsidR="00BD39F6" w:rsidRPr="00FF31CD">
        <w:rPr>
          <w:rFonts w:ascii="Calibri" w:hAnsi="Calibri" w:cs="Calibri"/>
          <w:sz w:val="22"/>
        </w:rPr>
        <w:t xml:space="preserve"> </w:t>
      </w:r>
      <w:r w:rsidR="00026689" w:rsidRPr="00FF31CD">
        <w:rPr>
          <w:rFonts w:ascii="Calibri" w:hAnsi="Calibri" w:cs="Calibri"/>
          <w:sz w:val="22"/>
        </w:rPr>
        <w:t>hotel</w:t>
      </w:r>
      <w:r w:rsidR="00BD39F6" w:rsidRPr="00FF31CD">
        <w:rPr>
          <w:rFonts w:ascii="Calibri" w:hAnsi="Calibri" w:cs="Calibri"/>
          <w:sz w:val="22"/>
        </w:rPr>
        <w:t xml:space="preserve"> website to </w:t>
      </w:r>
      <w:r w:rsidR="00026689" w:rsidRPr="00FF31CD">
        <w:rPr>
          <w:rFonts w:ascii="Calibri" w:hAnsi="Calibri" w:cs="Calibri"/>
          <w:sz w:val="22"/>
        </w:rPr>
        <w:t>promote</w:t>
      </w:r>
      <w:r w:rsidR="00BD39F6" w:rsidRPr="00FF31CD">
        <w:rPr>
          <w:rFonts w:ascii="Calibri" w:hAnsi="Calibri" w:cs="Calibri"/>
          <w:sz w:val="22"/>
        </w:rPr>
        <w:t xml:space="preserve"> and sell </w:t>
      </w:r>
      <w:r w:rsidR="00026689" w:rsidRPr="00FF31CD">
        <w:rPr>
          <w:rFonts w:ascii="Calibri" w:hAnsi="Calibri" w:cs="Calibri"/>
          <w:sz w:val="22"/>
        </w:rPr>
        <w:t>“1 Hotel Signature Kids Jersey</w:t>
      </w:r>
      <w:r w:rsidR="00457128" w:rsidRPr="00FF31CD">
        <w:rPr>
          <w:rFonts w:ascii="Calibri" w:hAnsi="Calibri" w:cs="Calibri"/>
          <w:sz w:val="22"/>
        </w:rPr>
        <w:t xml:space="preserve"> K</w:t>
      </w:r>
      <w:r w:rsidR="00026689" w:rsidRPr="00FF31CD">
        <w:rPr>
          <w:rFonts w:ascii="Calibri" w:hAnsi="Calibri" w:cs="Calibri"/>
          <w:sz w:val="22"/>
        </w:rPr>
        <w:t>nit Hooded Robe[s]</w:t>
      </w:r>
      <w:r w:rsidR="001C3654" w:rsidRPr="00FF31CD">
        <w:rPr>
          <w:rFonts w:ascii="Calibri" w:hAnsi="Calibri" w:cs="Calibri"/>
          <w:sz w:val="22"/>
        </w:rPr>
        <w:t>.</w:t>
      </w:r>
      <w:r w:rsidR="00026689" w:rsidRPr="00FF31CD">
        <w:rPr>
          <w:rFonts w:ascii="Calibri" w:hAnsi="Calibri" w:cs="Calibri"/>
          <w:sz w:val="22"/>
        </w:rPr>
        <w:t>”</w:t>
      </w:r>
      <w:r w:rsidR="00935621" w:rsidRPr="00FF31CD">
        <w:rPr>
          <w:rFonts w:ascii="Calibri" w:hAnsi="Calibri" w:cs="Calibri"/>
          <w:sz w:val="22"/>
        </w:rPr>
        <w:t>Two years after the photo was taken, the plaintiff obtained a Certificate of Registration for “Cousins at the pool in bathrobes” from the US Copyright Office</w:t>
      </w:r>
      <w:r w:rsidR="00A95AF0" w:rsidRPr="00FF31CD">
        <w:rPr>
          <w:rFonts w:ascii="Calibri" w:hAnsi="Calibri" w:cs="Calibri"/>
          <w:sz w:val="22"/>
        </w:rPr>
        <w:t xml:space="preserve"> and subsequently filed an action in federal court alleging copyright infringement and other causes of action. </w:t>
      </w:r>
      <w:r w:rsidR="0000052F" w:rsidRPr="00FF31CD">
        <w:rPr>
          <w:rFonts w:ascii="Calibri" w:hAnsi="Calibri" w:cs="Calibri"/>
          <w:sz w:val="22"/>
        </w:rPr>
        <w:t>The hotel argued that they had an implied non-exclusive license to use the photograph due to plaintiffs’ consent</w:t>
      </w:r>
      <w:r w:rsidR="002B70E5" w:rsidRPr="00FF31CD">
        <w:rPr>
          <w:rFonts w:ascii="Calibri" w:hAnsi="Calibri" w:cs="Calibri"/>
          <w:sz w:val="22"/>
        </w:rPr>
        <w:t xml:space="preserve"> and that the use of the photo was incidental without any information about the identity of the subjects.  The court said </w:t>
      </w:r>
      <w:r w:rsidR="00956854" w:rsidRPr="00FF31CD">
        <w:rPr>
          <w:rFonts w:ascii="Calibri" w:hAnsi="Calibri" w:cs="Calibri"/>
          <w:sz w:val="22"/>
        </w:rPr>
        <w:t>although there may be an implied license</w:t>
      </w:r>
      <w:r w:rsidR="00384EF7" w:rsidRPr="00FF31CD">
        <w:rPr>
          <w:rFonts w:ascii="Calibri" w:hAnsi="Calibri" w:cs="Calibri"/>
          <w:sz w:val="22"/>
        </w:rPr>
        <w:t xml:space="preserve">, it did not encompass the hotel’s authority to use the photograph for </w:t>
      </w:r>
      <w:r w:rsidR="00FE26F0" w:rsidRPr="00FF31CD">
        <w:rPr>
          <w:rFonts w:ascii="Calibri" w:hAnsi="Calibri" w:cs="Calibri"/>
          <w:sz w:val="22"/>
        </w:rPr>
        <w:t>the purpose</w:t>
      </w:r>
      <w:r w:rsidR="00384EF7" w:rsidRPr="00FF31CD">
        <w:rPr>
          <w:rFonts w:ascii="Calibri" w:hAnsi="Calibri" w:cs="Calibri"/>
          <w:sz w:val="22"/>
        </w:rPr>
        <w:t xml:space="preserve"> of selling the hotel robes</w:t>
      </w:r>
      <w:r w:rsidR="00FE26F0" w:rsidRPr="00FF31CD">
        <w:rPr>
          <w:rFonts w:ascii="Calibri" w:hAnsi="Calibri" w:cs="Calibri"/>
          <w:sz w:val="22"/>
        </w:rPr>
        <w:t xml:space="preserve"> and therefore the court denied defendant’s motion for judgement on the pleadings</w:t>
      </w:r>
      <w:r w:rsidR="00384EF7" w:rsidRPr="00FF31CD">
        <w:rPr>
          <w:rFonts w:ascii="Calibri" w:hAnsi="Calibri" w:cs="Calibri"/>
          <w:sz w:val="22"/>
        </w:rPr>
        <w:t xml:space="preserve">. </w:t>
      </w:r>
    </w:p>
    <w:p w14:paraId="05CCFA8E" w14:textId="77777777" w:rsidR="00CA2177" w:rsidRPr="00FF31CD" w:rsidRDefault="00CA2177" w:rsidP="00CA2177">
      <w:pPr>
        <w:pStyle w:val="ListParagraph"/>
        <w:ind w:left="1080" w:firstLine="0"/>
        <w:rPr>
          <w:rFonts w:ascii="Calibri" w:hAnsi="Calibri" w:cs="Calibri"/>
          <w:sz w:val="22"/>
        </w:rPr>
      </w:pPr>
    </w:p>
    <w:p w14:paraId="7C83D3DA" w14:textId="47B218EE" w:rsidR="00732301" w:rsidRPr="00FF31CD" w:rsidRDefault="00732301">
      <w:pPr>
        <w:rPr>
          <w:rFonts w:ascii="Calibri" w:hAnsi="Calibri" w:cs="Calibri"/>
          <w:b/>
          <w:bCs/>
          <w:sz w:val="24"/>
          <w:szCs w:val="24"/>
        </w:rPr>
      </w:pPr>
      <w:r w:rsidRPr="00FF31CD">
        <w:rPr>
          <w:rFonts w:ascii="Calibri" w:hAnsi="Calibri" w:cs="Calibri"/>
          <w:b/>
          <w:bCs/>
          <w:sz w:val="24"/>
          <w:szCs w:val="24"/>
        </w:rPr>
        <w:t>Def</w:t>
      </w:r>
      <w:r w:rsidR="00414026" w:rsidRPr="00FF31CD">
        <w:rPr>
          <w:rFonts w:ascii="Calibri" w:hAnsi="Calibri" w:cs="Calibri"/>
          <w:b/>
          <w:bCs/>
          <w:sz w:val="24"/>
          <w:szCs w:val="24"/>
        </w:rPr>
        <w:t>ault Judgment</w:t>
      </w:r>
    </w:p>
    <w:p w14:paraId="60CB65E4" w14:textId="72B8B52A" w:rsidR="00414026" w:rsidRPr="00FF31CD" w:rsidRDefault="005B17CF" w:rsidP="00414026">
      <w:pPr>
        <w:pStyle w:val="ListParagraph"/>
        <w:numPr>
          <w:ilvl w:val="0"/>
          <w:numId w:val="1"/>
        </w:numPr>
        <w:rPr>
          <w:rFonts w:ascii="Calibri" w:hAnsi="Calibri" w:cs="Calibri"/>
          <w:sz w:val="22"/>
        </w:rPr>
      </w:pPr>
      <w:r w:rsidRPr="00FF31CD">
        <w:rPr>
          <w:rFonts w:ascii="Calibri" w:hAnsi="Calibri" w:cs="Calibri"/>
          <w:b/>
          <w:bCs/>
          <w:sz w:val="22"/>
        </w:rPr>
        <w:t>Reynolds v. ODM Restaurants Operations, LLC,</w:t>
      </w:r>
      <w:r w:rsidRPr="00FF31CD">
        <w:rPr>
          <w:rFonts w:ascii="Calibri" w:hAnsi="Calibri" w:cs="Calibri"/>
          <w:b/>
          <w:bCs/>
          <w:szCs w:val="24"/>
        </w:rPr>
        <w:t xml:space="preserve"> </w:t>
      </w:r>
      <w:r w:rsidRPr="00FF31CD">
        <w:rPr>
          <w:rFonts w:ascii="Calibri" w:hAnsi="Calibri" w:cs="Calibri"/>
          <w:sz w:val="22"/>
        </w:rPr>
        <w:t>2025 WL 724620 (S.D. OH, 2025).  Plaintiff filed a complaint alleging violations of the Americans with Disabilities Act.  Defendant restaurant failed to file a response and a default judgment was entered in plaintiff’s favor. Plaintiff sought damages in the amount of $35,000 in lost wages and $45,000 for emotional distress and her treatment plan, but failed to provide any evidence in support of the claim.  She submitted no paystub to prove her earnings prior to her discharge, no explanation of the time period $45,000 would cover, and no explanation of how she arrived at that number.   Nor did she provide any information concerning her treatment plan.  As a result, the court awarded zero in damages, noting that, where damages are unliquidated, a default judgment applies only to defendant’s liability and not the amount of damages plaintiff claimed.  Rather, the  damage amount must be proved.</w:t>
      </w:r>
    </w:p>
    <w:p w14:paraId="0D19BCEB" w14:textId="77777777" w:rsidR="00CA2177" w:rsidRPr="00FF31CD" w:rsidRDefault="00CA2177" w:rsidP="00CA2177">
      <w:pPr>
        <w:pStyle w:val="ListParagraph"/>
        <w:ind w:left="1080" w:firstLine="0"/>
        <w:rPr>
          <w:rFonts w:ascii="Calibri" w:hAnsi="Calibri" w:cs="Calibri"/>
          <w:sz w:val="22"/>
        </w:rPr>
      </w:pPr>
    </w:p>
    <w:p w14:paraId="40D250A3" w14:textId="29A326A3" w:rsidR="00870C61" w:rsidRPr="00FF31CD" w:rsidRDefault="00732301" w:rsidP="00B00BB2">
      <w:pPr>
        <w:pStyle w:val="ListParagraph"/>
        <w:ind w:left="900" w:hanging="810"/>
        <w:rPr>
          <w:rFonts w:ascii="Calibri" w:hAnsi="Calibri" w:cs="Calibri"/>
          <w:b/>
          <w:bCs/>
        </w:rPr>
      </w:pPr>
      <w:r w:rsidRPr="00FF31CD">
        <w:rPr>
          <w:rFonts w:ascii="Calibri" w:hAnsi="Calibri" w:cs="Calibri"/>
          <w:b/>
          <w:bCs/>
        </w:rPr>
        <w:t>D</w:t>
      </w:r>
      <w:r w:rsidR="00870C61" w:rsidRPr="00FF31CD">
        <w:rPr>
          <w:rFonts w:ascii="Calibri" w:hAnsi="Calibri" w:cs="Calibri"/>
          <w:b/>
          <w:bCs/>
        </w:rPr>
        <w:t>iscrimination</w:t>
      </w:r>
      <w:r w:rsidR="00FB7272" w:rsidRPr="00FF31CD">
        <w:rPr>
          <w:rFonts w:ascii="Calibri" w:hAnsi="Calibri" w:cs="Calibri"/>
          <w:b/>
          <w:bCs/>
        </w:rPr>
        <w:t xml:space="preserve"> </w:t>
      </w:r>
      <w:r w:rsidR="00EF74BE" w:rsidRPr="00FF31CD">
        <w:rPr>
          <w:rFonts w:ascii="Calibri" w:hAnsi="Calibri" w:cs="Calibri"/>
          <w:b/>
          <w:bCs/>
        </w:rPr>
        <w:t>(Public Accommodation)</w:t>
      </w:r>
    </w:p>
    <w:p w14:paraId="204972D3" w14:textId="77777777" w:rsidR="00B00BB2" w:rsidRPr="00FF31CD" w:rsidRDefault="00B00BB2" w:rsidP="00B00BB2">
      <w:pPr>
        <w:pStyle w:val="ListParagraph"/>
        <w:ind w:left="900" w:hanging="810"/>
        <w:rPr>
          <w:rFonts w:ascii="Calibri" w:hAnsi="Calibri" w:cs="Calibri"/>
          <w:b/>
          <w:bCs/>
        </w:rPr>
      </w:pPr>
    </w:p>
    <w:p w14:paraId="09B86270" w14:textId="3D263129" w:rsidR="00B00BB2" w:rsidRPr="00FF31CD" w:rsidRDefault="00B00BB2" w:rsidP="008F0555">
      <w:pPr>
        <w:pStyle w:val="ListParagraph"/>
        <w:numPr>
          <w:ilvl w:val="0"/>
          <w:numId w:val="1"/>
        </w:numPr>
        <w:rPr>
          <w:rFonts w:ascii="Calibri" w:hAnsi="Calibri" w:cs="Calibri"/>
          <w:b/>
          <w:bCs/>
        </w:rPr>
      </w:pPr>
      <w:r w:rsidRPr="00FF31CD">
        <w:rPr>
          <w:rFonts w:ascii="Calibri" w:hAnsi="Calibri" w:cs="Calibri"/>
          <w:b/>
          <w:bCs/>
          <w:sz w:val="22"/>
        </w:rPr>
        <w:t xml:space="preserve">Mosley v. Marriott International, Inc. </w:t>
      </w:r>
      <w:r w:rsidRPr="00FF31CD">
        <w:rPr>
          <w:rFonts w:ascii="Calibri" w:hAnsi="Calibri" w:cs="Calibri"/>
          <w:sz w:val="22"/>
        </w:rPr>
        <w:t>No. 21-cv-10470, U.S. District Court, E.D. Michigan (03/21/2024). Numerous issues are raised in this case</w:t>
      </w:r>
      <w:r w:rsidRPr="00FF31CD">
        <w:rPr>
          <w:rFonts w:ascii="Calibri" w:hAnsi="Calibri" w:cs="Calibri"/>
          <w:b/>
          <w:bCs/>
          <w:sz w:val="22"/>
        </w:rPr>
        <w:t xml:space="preserve">. </w:t>
      </w:r>
      <w:r w:rsidRPr="00FF31CD">
        <w:rPr>
          <w:rFonts w:ascii="Calibri" w:hAnsi="Calibri" w:cs="Calibri"/>
          <w:sz w:val="22"/>
        </w:rPr>
        <w:t xml:space="preserve">The plaintiffs are an interracial couple who made an online reservation through Priceline.com for a room at the Westin Book Cadillac Hotel in Detroit, Michigan for one night to attend a Detroit Symphony Orchestra concert. Two room keys were given to Wagner, one of the plaintiffs, when Wagner checked in, however, the other plaintiff, Mosley, did not have his name on the reservation, but Mosley did show his identification at the time of check-in. After the show, Wagner went to the room and </w:t>
      </w:r>
      <w:r w:rsidRPr="00FF31CD">
        <w:rPr>
          <w:rFonts w:ascii="Calibri" w:hAnsi="Calibri" w:cs="Calibri"/>
          <w:sz w:val="22"/>
        </w:rPr>
        <w:lastRenderedPageBreak/>
        <w:t xml:space="preserve">Mosley went to the hotel’s restaurant for a glass of wine. He realized he didn’t have his room key and called Wagner who said she would leave the room ajar so he could enter.  When Mosely entered the elevator to go upstairs to the room, he realized he needed a key to access the floor where his room was located. His phone died so he went to the front desk to obtain a key but was not given a key because his name was not on the reservation.  Calls to Wagner from the front desk were not answered. The front desk offered to charge Mosely’s phone, but he declined. Mosely wanted a staff member to escort him to the room, but the hotel staff refused. Mosely was escorted out of the hotel when loss prevention officers heard his loud voice, and thought he was a vagrant. Moments later, the local police got involved and walked Mosely to his room and Mosely threatened to sue the hotel. The scene escalated and Mosely was subsequently arrested. Plaintiffs requested a copy of all video recordings within two days of the event, which were not delivered, and plaintiffs filed a motion for sanctions against defendants for spoliation. Plaintiffs claim that the video would demonstrate discrimination against them as an interracial married couple. The video did not have any audio and only showed the back head of the receptionist and not the receptionist’s facial expressions. The policy have body cam footage which shows possible intoxication of </w:t>
      </w:r>
      <w:r w:rsidR="00D108A9" w:rsidRPr="00FF31CD">
        <w:rPr>
          <w:rFonts w:ascii="Calibri" w:hAnsi="Calibri" w:cs="Calibri"/>
          <w:sz w:val="22"/>
        </w:rPr>
        <w:t>Wagner,</w:t>
      </w:r>
      <w:r w:rsidRPr="00FF31CD">
        <w:rPr>
          <w:rFonts w:ascii="Calibri" w:hAnsi="Calibri" w:cs="Calibri"/>
          <w:sz w:val="22"/>
        </w:rPr>
        <w:t xml:space="preserve"> so the hotel video was not necessary. Plaintiff’s motion for spoilation was denied by the court.  In reviewing the racial discrimination claims, the court held for Marriott and the defendants stating that there was no inference of discrimination based on plaintiffs being an interracial married couple. As for the retaliation claim, plaintiffs were engaged in a protected activity, and the hotel took an adverse action by evicting them. All occurring within closeness of time so a jury should decide. Summary judgment for defendant</w:t>
      </w:r>
      <w:r w:rsidR="009D3203" w:rsidRPr="00FF31CD">
        <w:rPr>
          <w:rFonts w:ascii="Calibri" w:hAnsi="Calibri" w:cs="Calibri"/>
          <w:sz w:val="22"/>
        </w:rPr>
        <w:t xml:space="preserve"> on all charges, except the plaintiffs may pursue the claims for false arrest and false imprisonment.</w:t>
      </w:r>
    </w:p>
    <w:p w14:paraId="6E1B112A" w14:textId="77777777" w:rsidR="009D3203" w:rsidRPr="00FF31CD" w:rsidRDefault="009D3203" w:rsidP="009D3203">
      <w:pPr>
        <w:pStyle w:val="ListParagraph"/>
        <w:ind w:left="900" w:firstLine="0"/>
        <w:rPr>
          <w:rFonts w:ascii="Calibri" w:hAnsi="Calibri" w:cs="Calibri"/>
          <w:b/>
          <w:bCs/>
        </w:rPr>
      </w:pPr>
    </w:p>
    <w:p w14:paraId="6A58D15C" w14:textId="011821B2" w:rsidR="009D3203" w:rsidRPr="00FF31CD" w:rsidRDefault="009D3203" w:rsidP="00EB64B9">
      <w:pPr>
        <w:pStyle w:val="ListParagraph"/>
        <w:numPr>
          <w:ilvl w:val="0"/>
          <w:numId w:val="1"/>
        </w:numPr>
        <w:rPr>
          <w:rFonts w:ascii="Calibri" w:hAnsi="Calibri" w:cs="Calibri"/>
          <w:b/>
          <w:bCs/>
        </w:rPr>
      </w:pPr>
      <w:r w:rsidRPr="00FF31CD">
        <w:rPr>
          <w:rFonts w:ascii="Calibri" w:hAnsi="Calibri" w:cs="Calibri"/>
          <w:b/>
          <w:bCs/>
          <w:sz w:val="22"/>
        </w:rPr>
        <w:t xml:space="preserve">Powells v. 1600 West Loop South, LLC., et al., </w:t>
      </w:r>
      <w:r w:rsidRPr="00FF31CD">
        <w:rPr>
          <w:rFonts w:ascii="Calibri" w:hAnsi="Calibri" w:cs="Calibri"/>
          <w:sz w:val="22"/>
        </w:rPr>
        <w:t xml:space="preserve">H-23-3790, U.S. District Court, S.D. Texas (04/23/2024). Willie Powells, an attorney, sued Post Oak Hotel for race and/or sex discrimination and intentional infliction of emotional distress after he was asked to remove his baseball cap at the hotel's bar, H Bar. Powells, who is Black, alleges he was the only Black person asked to remove his headwear, while white patrons wearing cowboy hats were not. Post Oak moved to dismiss the claims. The court granted the motion to dismiss the intentional infliction of emotional distress claim but denied it for the § 1981 claim. To establish a § 1981 claim, Powells needed to show intentional discrimination in the making and enforcement of contracts. Powells alleged that the hotel's dress code was selectively enforced, with Black patrons like himself being turned away while white patrons were allowed to remain with cowboy hats. The court found Powells' allegations sufficient to establish a plausible claim of discriminatory intent and but-for causation. Additionally, the court rejected Post Oak's argument that Powells failed to allege the existence of a contractual relationship, stating that an attempt to enter into a contract was enough to satisfy the requirement. Finally, the court concluded that Powells' claim for intentional infliction of emotional distress was covered by § 1981 and did not meet the standard for such a claim under Texas law. Therefore, the motion to dismiss was granted for </w:t>
      </w:r>
      <w:r w:rsidR="00B45BA9" w:rsidRPr="00FF31CD">
        <w:rPr>
          <w:rFonts w:ascii="Calibri" w:hAnsi="Calibri" w:cs="Calibri"/>
          <w:sz w:val="22"/>
        </w:rPr>
        <w:t>the</w:t>
      </w:r>
      <w:r w:rsidRPr="00FF31CD">
        <w:rPr>
          <w:rFonts w:ascii="Calibri" w:hAnsi="Calibri" w:cs="Calibri"/>
          <w:sz w:val="22"/>
        </w:rPr>
        <w:t xml:space="preserve"> emotional distress claim and denied for the</w:t>
      </w:r>
      <w:r w:rsidR="00AD7954" w:rsidRPr="00FF31CD">
        <w:rPr>
          <w:rFonts w:ascii="Calibri" w:hAnsi="Calibri" w:cs="Calibri"/>
          <w:sz w:val="22"/>
        </w:rPr>
        <w:t xml:space="preserve"> Sec. 1981 claim.</w:t>
      </w:r>
    </w:p>
    <w:p w14:paraId="7D78B29C" w14:textId="77777777" w:rsidR="00491404" w:rsidRPr="00FF31CD" w:rsidRDefault="00491404" w:rsidP="00491404">
      <w:pPr>
        <w:pStyle w:val="ListParagraph"/>
        <w:ind w:left="1080" w:firstLine="0"/>
        <w:rPr>
          <w:rFonts w:ascii="Calibri" w:hAnsi="Calibri" w:cs="Calibri"/>
          <w:b/>
          <w:bCs/>
        </w:rPr>
      </w:pPr>
    </w:p>
    <w:p w14:paraId="600ECB08" w14:textId="77777777" w:rsidR="00F82187" w:rsidRPr="00FF31CD" w:rsidRDefault="00F82187" w:rsidP="00F82187">
      <w:pPr>
        <w:pStyle w:val="ListParagraph"/>
        <w:numPr>
          <w:ilvl w:val="0"/>
          <w:numId w:val="1"/>
        </w:numPr>
        <w:rPr>
          <w:rFonts w:ascii="Calibri" w:hAnsi="Calibri" w:cs="Calibri"/>
          <w:sz w:val="22"/>
        </w:rPr>
      </w:pPr>
      <w:r w:rsidRPr="00FF31CD">
        <w:rPr>
          <w:rFonts w:ascii="Calibri" w:hAnsi="Calibri" w:cs="Calibri"/>
          <w:b/>
          <w:bCs/>
          <w:sz w:val="22"/>
        </w:rPr>
        <w:t xml:space="preserve">Bonds v. Hollywood Casino &amp; Hotel, </w:t>
      </w:r>
      <w:r w:rsidRPr="00FF31CD">
        <w:rPr>
          <w:rFonts w:ascii="Calibri" w:hAnsi="Calibri" w:cs="Calibri"/>
          <w:sz w:val="22"/>
        </w:rPr>
        <w:t xml:space="preserve">2025 WL 233588 (2nd Cir., 2025).  Plaintiff went to a bar at defendant hotel.  The bartender asked, “Do you need anything?” The plaintiff alleged the bar tender’s way of asking was rude and racially charged.  Plaintiff responded, “No, not with that attitude.”  The bartender then allegedly started yelling at plaintiff about mistreating bar staff, and called security.  The guard told plaintiff he needed to leave and he did so.  The next day he started this lawsuit  based on race discrimination under 42 USC 1981.  A requirement </w:t>
      </w:r>
      <w:r w:rsidRPr="00FF31CD">
        <w:rPr>
          <w:rFonts w:ascii="Calibri" w:hAnsi="Calibri" w:cs="Calibri"/>
          <w:sz w:val="22"/>
        </w:rPr>
        <w:lastRenderedPageBreak/>
        <w:t>of that statute is to show that plaintiff was deprived of the right to make and enforce a contract, including a retail purchase.  The court determined that, rather than being denied service, he was offered service by the bartender, which plaintiff declined. Further noted the court, plaintiff did not attempt to make any additional purchases after he was asked to leave.</w:t>
      </w:r>
    </w:p>
    <w:p w14:paraId="4243D2AE" w14:textId="77777777" w:rsidR="00F82187" w:rsidRPr="00FF31CD" w:rsidRDefault="00F82187" w:rsidP="00F82187">
      <w:pPr>
        <w:pStyle w:val="ListParagraph"/>
        <w:rPr>
          <w:rFonts w:ascii="Calibri" w:hAnsi="Calibri" w:cs="Calibri"/>
          <w:b/>
          <w:bCs/>
          <w:sz w:val="22"/>
        </w:rPr>
      </w:pPr>
    </w:p>
    <w:p w14:paraId="4275F8C1" w14:textId="328FCB39" w:rsidR="00491404" w:rsidRPr="00FF31CD" w:rsidRDefault="00F82187" w:rsidP="00F82187">
      <w:pPr>
        <w:pStyle w:val="ListParagraph"/>
        <w:numPr>
          <w:ilvl w:val="0"/>
          <w:numId w:val="1"/>
        </w:numPr>
        <w:rPr>
          <w:rFonts w:ascii="Calibri" w:hAnsi="Calibri" w:cs="Calibri"/>
          <w:b/>
          <w:bCs/>
          <w:sz w:val="22"/>
        </w:rPr>
      </w:pPr>
      <w:r w:rsidRPr="00FF31CD">
        <w:rPr>
          <w:rFonts w:ascii="Calibri" w:hAnsi="Calibri" w:cs="Calibri"/>
          <w:b/>
          <w:bCs/>
          <w:sz w:val="22"/>
        </w:rPr>
        <w:t xml:space="preserve">Arastheh v. Luxurban Hotels, Inc., </w:t>
      </w:r>
      <w:r w:rsidRPr="00FF31CD">
        <w:rPr>
          <w:rFonts w:ascii="Calibri" w:hAnsi="Calibri" w:cs="Calibri"/>
          <w:sz w:val="22"/>
        </w:rPr>
        <w:t>2024 WL 4370890 (S.D.FL., 2024).  Plaintiff, a guest at defendant hotel, was upgraded to a penthouse room.  Upon entering,. he discovered it was infested with cockroaches and bedbugs.  He complained to the overnight manager who allegedly made highly offensive racial slurs and threats to plaintiff, a dark-skinned man.  In the morning, the daytime manager, who was aware of the events of the previous night, evicted plaintiff from the hotel. Plaintiff sued for race-based discrimination under 42 USC 1981.  That section requires loss of an actual contractual interest, not just general harassment.  The court held plaintiff sufficiently stated that defendant deprived plaintiff of the full extent of the hotel service plaintiff sought, and the deprivation was due to plaintiff’s race.  The court further noted that a plaintiff need not allege comparators to state a plausible claim for discrimination under section 1981. Additionally, the court dismissed plaintiff’s cause of action for intentional infliction of emotional distress.  The court referred to the hotel’s actions as reprehensible, but did not reach the level of outrageousness and atrociousness required.</w:t>
      </w:r>
      <w:r w:rsidRPr="00FF31CD">
        <w:rPr>
          <w:rFonts w:ascii="Calibri" w:hAnsi="Calibri" w:cs="Calibri"/>
          <w:b/>
          <w:bCs/>
          <w:sz w:val="22"/>
        </w:rPr>
        <w:t xml:space="preserve">  </w:t>
      </w:r>
    </w:p>
    <w:p w14:paraId="09B9CD80" w14:textId="77777777" w:rsidR="008241EC" w:rsidRPr="00FF31CD" w:rsidRDefault="008241EC" w:rsidP="008241EC">
      <w:pPr>
        <w:pStyle w:val="ListParagraph"/>
        <w:ind w:left="1080" w:firstLine="0"/>
        <w:rPr>
          <w:rFonts w:ascii="Calibri" w:hAnsi="Calibri" w:cs="Calibri"/>
          <w:b/>
          <w:bCs/>
          <w:sz w:val="22"/>
        </w:rPr>
      </w:pPr>
    </w:p>
    <w:p w14:paraId="3084FBC4" w14:textId="77777777" w:rsidR="00213A02" w:rsidRPr="00FF31CD" w:rsidRDefault="00213A02" w:rsidP="00213A02">
      <w:pPr>
        <w:pStyle w:val="ListParagraph"/>
        <w:numPr>
          <w:ilvl w:val="0"/>
          <w:numId w:val="1"/>
        </w:numPr>
        <w:rPr>
          <w:rFonts w:ascii="Calibri" w:hAnsi="Calibri" w:cs="Calibri"/>
          <w:sz w:val="22"/>
        </w:rPr>
      </w:pPr>
      <w:r w:rsidRPr="00FF31CD">
        <w:rPr>
          <w:rFonts w:ascii="Calibri" w:hAnsi="Calibri" w:cs="Calibri"/>
          <w:b/>
          <w:bCs/>
          <w:sz w:val="22"/>
        </w:rPr>
        <w:t>Newkirk v. Four Seasons Hotel Baltimore, et al</w:t>
      </w:r>
      <w:r w:rsidRPr="00FF31CD">
        <w:rPr>
          <w:rFonts w:ascii="Calibri" w:hAnsi="Calibri" w:cs="Calibri"/>
          <w:sz w:val="22"/>
        </w:rPr>
        <w:t>, 2024 WL 895119 (D. Md; 03/01/2024).  Plaintiffs, an African American male, and a Hispanic female, sought to rent a room at the defendant’s hotel for New Year’s Eve.  Plaintiff’s credit card was declined two times because of a “Merchant Processing Error.” The hotel employee refused to try and run the card a third time, so plaintiffs went to a nearby bank to get the cash. When they returned the employee accused them of stealing the money and using counterfeit money. He also suggested the plaintiffs should stay at a Motel 6 rather than defendant’s hotel. During this time, several white customer were able to successfully rent rooms at defendant’s hotel. Plaintiffs left and went elsewhere but decided to sue the hotel for racial discrimination. The court dismissed the case stating that plaintiffs were not denied the opportunity to rent a room, nor was there any demonstrated connection between their alleged mistreatment and their race.</w:t>
      </w:r>
    </w:p>
    <w:p w14:paraId="02E59BF8" w14:textId="77777777" w:rsidR="00320808" w:rsidRPr="00FF31CD" w:rsidRDefault="00320808">
      <w:pPr>
        <w:rPr>
          <w:rFonts w:ascii="Calibri" w:hAnsi="Calibri" w:cs="Calibri"/>
          <w:b/>
          <w:bCs/>
        </w:rPr>
      </w:pPr>
    </w:p>
    <w:p w14:paraId="36D9F390" w14:textId="7AFF54EF" w:rsidR="00BE52CF" w:rsidRPr="00FF31CD" w:rsidRDefault="00BE52CF">
      <w:pPr>
        <w:rPr>
          <w:rFonts w:ascii="Calibri" w:hAnsi="Calibri" w:cs="Calibri"/>
          <w:b/>
          <w:bCs/>
          <w:sz w:val="24"/>
          <w:szCs w:val="24"/>
        </w:rPr>
      </w:pPr>
      <w:r w:rsidRPr="00FF31CD">
        <w:rPr>
          <w:rFonts w:ascii="Calibri" w:hAnsi="Calibri" w:cs="Calibri"/>
          <w:b/>
          <w:bCs/>
          <w:sz w:val="24"/>
          <w:szCs w:val="24"/>
        </w:rPr>
        <w:t>Diversity Jurisdiction</w:t>
      </w:r>
      <w:r w:rsidR="00D42DB9" w:rsidRPr="00FF31CD">
        <w:rPr>
          <w:rFonts w:ascii="Calibri" w:hAnsi="Calibri" w:cs="Calibri"/>
          <w:b/>
          <w:bCs/>
          <w:sz w:val="24"/>
          <w:szCs w:val="24"/>
        </w:rPr>
        <w:t xml:space="preserve"> – Amount in Controversy</w:t>
      </w:r>
    </w:p>
    <w:p w14:paraId="7C2FA98F" w14:textId="48EEC7ED" w:rsidR="00D42DB9" w:rsidRPr="00FF31CD" w:rsidRDefault="004B02F7" w:rsidP="00D42DB9">
      <w:pPr>
        <w:pStyle w:val="ListParagraph"/>
        <w:numPr>
          <w:ilvl w:val="0"/>
          <w:numId w:val="1"/>
        </w:numPr>
        <w:rPr>
          <w:rFonts w:ascii="Calibri" w:hAnsi="Calibri" w:cs="Calibri"/>
          <w:sz w:val="22"/>
        </w:rPr>
      </w:pPr>
      <w:r w:rsidRPr="00FF31CD">
        <w:rPr>
          <w:rFonts w:ascii="Calibri" w:hAnsi="Calibri" w:cs="Calibri"/>
          <w:b/>
          <w:bCs/>
          <w:sz w:val="22"/>
        </w:rPr>
        <w:t xml:space="preserve">Vahle v. Choice Hotels, </w:t>
      </w:r>
      <w:r w:rsidRPr="00FF31CD">
        <w:rPr>
          <w:rFonts w:ascii="Calibri" w:hAnsi="Calibri" w:cs="Calibri"/>
          <w:sz w:val="22"/>
        </w:rPr>
        <w:t>2024 WL 3831089 (S.D. Miss., 2024).  Plaintiff slipped and fell in the shower at defendant’s motel.  Plaintiff attributed the cause to the slippery condition of the shower and the lack of handrails.  The complaint alleged serious permanent past, present and future physical and mental pain and suffering, medical expenses, lost wages and permanent disability.  Defendant sought to remove the case to federal court.  Plaintiff denied that the injuries met the $75,000 threshold for federal court jurisdiction. The court determined that the injuries alleged in the complaint “could” exceed $75,000 and therefore plaintiff’s motion to remand to state court was denied.</w:t>
      </w:r>
    </w:p>
    <w:p w14:paraId="4A87705F" w14:textId="77777777" w:rsidR="004B02F7" w:rsidRPr="00FF31CD" w:rsidRDefault="004B02F7" w:rsidP="004B02F7">
      <w:pPr>
        <w:pStyle w:val="ListParagraph"/>
        <w:ind w:left="1080" w:firstLine="0"/>
        <w:rPr>
          <w:rFonts w:ascii="Calibri" w:hAnsi="Calibri" w:cs="Calibri"/>
          <w:b/>
          <w:bCs/>
          <w:szCs w:val="24"/>
        </w:rPr>
      </w:pPr>
    </w:p>
    <w:p w14:paraId="2CAB6B3E" w14:textId="2ED41DCF" w:rsidR="004B02F7" w:rsidRPr="00FF31CD" w:rsidRDefault="004B02F7">
      <w:pPr>
        <w:rPr>
          <w:rFonts w:ascii="Calibri" w:hAnsi="Calibri" w:cs="Calibri"/>
          <w:b/>
          <w:bCs/>
          <w:sz w:val="24"/>
          <w:szCs w:val="24"/>
        </w:rPr>
      </w:pPr>
      <w:r w:rsidRPr="00FF31CD">
        <w:rPr>
          <w:rFonts w:ascii="Calibri" w:hAnsi="Calibri" w:cs="Calibri"/>
          <w:b/>
          <w:bCs/>
          <w:sz w:val="24"/>
          <w:szCs w:val="24"/>
        </w:rPr>
        <w:t>Diversity Jurisdiction – Diversity of Citizenship</w:t>
      </w:r>
    </w:p>
    <w:p w14:paraId="7CCA27C9" w14:textId="5FBA3178" w:rsidR="004B02F7" w:rsidRPr="00FF31CD" w:rsidRDefault="00382D86" w:rsidP="004B02F7">
      <w:pPr>
        <w:pStyle w:val="ListParagraph"/>
        <w:numPr>
          <w:ilvl w:val="0"/>
          <w:numId w:val="1"/>
        </w:numPr>
        <w:rPr>
          <w:rFonts w:ascii="Calibri" w:hAnsi="Calibri" w:cs="Calibri"/>
          <w:sz w:val="22"/>
        </w:rPr>
      </w:pPr>
      <w:r w:rsidRPr="00FF31CD">
        <w:rPr>
          <w:rFonts w:ascii="Calibri" w:hAnsi="Calibri" w:cs="Calibri"/>
          <w:b/>
          <w:bCs/>
          <w:sz w:val="22"/>
        </w:rPr>
        <w:t xml:space="preserve">Dent v. Hyatt Hotels Corp. et al, </w:t>
      </w:r>
      <w:r w:rsidRPr="00FF31CD">
        <w:rPr>
          <w:rFonts w:ascii="Calibri" w:hAnsi="Calibri" w:cs="Calibri"/>
          <w:sz w:val="22"/>
        </w:rPr>
        <w:t xml:space="preserve">2025 WL 300604 (E.D. PA.).  Plaintiff’s husband died while at defendant hotel.  Plaintiff sued in a state court.  Defendant sought to move the case to federal court based on diversity jurisdiction.  One defendant had an office in the state where plaintiff </w:t>
      </w:r>
      <w:r w:rsidRPr="00FF31CD">
        <w:rPr>
          <w:rFonts w:ascii="Calibri" w:hAnsi="Calibri" w:cs="Calibri"/>
          <w:sz w:val="22"/>
        </w:rPr>
        <w:lastRenderedPageBreak/>
        <w:t xml:space="preserve">resided, so plaintiff contested federal jurisdiction.  The court ruled the key question was not whether defendant had “a principal office” in plaintiff’s state, but rather whether defendant’s principal place of office was in the state.  The court determined defendant’s main principal place of office was in another state because that latter location was the place from where “the majority of high level officers direct, control and coordinate the activities of the company.”  Therefore, diversity jurisdiction existed.   </w:t>
      </w:r>
    </w:p>
    <w:p w14:paraId="59E351BF" w14:textId="77777777" w:rsidR="00382D86" w:rsidRPr="00FF31CD" w:rsidRDefault="00382D86" w:rsidP="00382D86">
      <w:pPr>
        <w:pStyle w:val="ListParagraph"/>
        <w:ind w:left="1080" w:firstLine="0"/>
        <w:rPr>
          <w:rFonts w:ascii="Calibri" w:hAnsi="Calibri" w:cs="Calibri"/>
          <w:sz w:val="22"/>
        </w:rPr>
      </w:pPr>
    </w:p>
    <w:p w14:paraId="26B38FE2" w14:textId="0B7899A8" w:rsidR="00737F76" w:rsidRPr="00FF31CD" w:rsidRDefault="00737F76">
      <w:pPr>
        <w:rPr>
          <w:rFonts w:ascii="Calibri" w:hAnsi="Calibri" w:cs="Calibri"/>
          <w:b/>
          <w:bCs/>
          <w:sz w:val="24"/>
          <w:szCs w:val="24"/>
        </w:rPr>
      </w:pPr>
      <w:r w:rsidRPr="00FF31CD">
        <w:rPr>
          <w:rFonts w:ascii="Calibri" w:hAnsi="Calibri" w:cs="Calibri"/>
          <w:b/>
          <w:bCs/>
          <w:sz w:val="24"/>
          <w:szCs w:val="24"/>
        </w:rPr>
        <w:t xml:space="preserve">Employment – Discrimination </w:t>
      </w:r>
    </w:p>
    <w:p w14:paraId="5314C9FB" w14:textId="0C5D54B3" w:rsidR="00943F7E" w:rsidRPr="00FF31CD" w:rsidRDefault="00101E00" w:rsidP="008F0555">
      <w:pPr>
        <w:pStyle w:val="ListParagraph"/>
        <w:numPr>
          <w:ilvl w:val="0"/>
          <w:numId w:val="1"/>
        </w:numPr>
        <w:rPr>
          <w:rFonts w:ascii="Calibri" w:hAnsi="Calibri" w:cs="Calibri"/>
          <w:b/>
          <w:bCs/>
          <w:szCs w:val="24"/>
        </w:rPr>
      </w:pPr>
      <w:r w:rsidRPr="00FF31CD">
        <w:rPr>
          <w:rFonts w:ascii="Calibri" w:hAnsi="Calibri" w:cs="Calibri"/>
          <w:b/>
          <w:bCs/>
          <w:sz w:val="22"/>
        </w:rPr>
        <w:t xml:space="preserve">Johnson v. The Westin NY at Times Square/Marriott International, Inc., </w:t>
      </w:r>
      <w:r w:rsidRPr="00FF31CD">
        <w:rPr>
          <w:rFonts w:ascii="Calibri" w:hAnsi="Calibri" w:cs="Calibri"/>
          <w:sz w:val="22"/>
        </w:rPr>
        <w:t>No. 23-cv-1156 (AS)</w:t>
      </w:r>
      <w:r w:rsidR="0084717F" w:rsidRPr="00FF31CD">
        <w:rPr>
          <w:rFonts w:ascii="Calibri" w:hAnsi="Calibri" w:cs="Calibri"/>
          <w:sz w:val="22"/>
        </w:rPr>
        <w:t xml:space="preserve"> </w:t>
      </w:r>
      <w:r w:rsidRPr="00FF31CD">
        <w:rPr>
          <w:rFonts w:ascii="Calibri" w:hAnsi="Calibri" w:cs="Calibri"/>
          <w:sz w:val="22"/>
        </w:rPr>
        <w:t>U.S. District Court, S.D. N.Y. (05/08</w:t>
      </w:r>
      <w:r w:rsidR="00943F7E" w:rsidRPr="00FF31CD">
        <w:rPr>
          <w:rFonts w:ascii="Calibri" w:hAnsi="Calibri" w:cs="Calibri"/>
          <w:sz w:val="22"/>
        </w:rPr>
        <w:t>/</w:t>
      </w:r>
      <w:r w:rsidR="00633EA5" w:rsidRPr="00FF31CD">
        <w:rPr>
          <w:rFonts w:ascii="Calibri" w:hAnsi="Calibri" w:cs="Calibri"/>
          <w:sz w:val="22"/>
        </w:rPr>
        <w:t>2024</w:t>
      </w:r>
      <w:r w:rsidR="00943F7E" w:rsidRPr="00FF31CD">
        <w:rPr>
          <w:rFonts w:ascii="Calibri" w:hAnsi="Calibri" w:cs="Calibri"/>
          <w:sz w:val="22"/>
        </w:rPr>
        <w:t xml:space="preserve">). </w:t>
      </w:r>
      <w:r w:rsidR="00256C98" w:rsidRPr="00FF31CD">
        <w:rPr>
          <w:rFonts w:ascii="Calibri" w:hAnsi="Calibri" w:cs="Calibri"/>
          <w:sz w:val="22"/>
        </w:rPr>
        <w:t xml:space="preserve">Plaintiff, representing himself, filed a lawsuit against his employer, Starwood Hotels &amp; Resorts Worldwide, LLC alleging religious discrimination under Title VII. </w:t>
      </w:r>
      <w:r w:rsidR="0084717F" w:rsidRPr="00FF31CD">
        <w:rPr>
          <w:rFonts w:ascii="Calibri" w:hAnsi="Calibri" w:cs="Calibri"/>
          <w:sz w:val="22"/>
        </w:rPr>
        <w:t>Plaintiff</w:t>
      </w:r>
      <w:r w:rsidR="00256C98" w:rsidRPr="00FF31CD">
        <w:rPr>
          <w:rFonts w:ascii="Calibri" w:hAnsi="Calibri" w:cs="Calibri"/>
          <w:sz w:val="22"/>
        </w:rPr>
        <w:t xml:space="preserve"> claim</w:t>
      </w:r>
      <w:r w:rsidR="0084717F" w:rsidRPr="00FF31CD">
        <w:rPr>
          <w:rFonts w:ascii="Calibri" w:hAnsi="Calibri" w:cs="Calibri"/>
          <w:sz w:val="22"/>
        </w:rPr>
        <w:t>ed</w:t>
      </w:r>
      <w:r w:rsidR="00256C98" w:rsidRPr="00FF31CD">
        <w:rPr>
          <w:rFonts w:ascii="Calibri" w:hAnsi="Calibri" w:cs="Calibri"/>
          <w:sz w:val="22"/>
        </w:rPr>
        <w:t xml:space="preserve"> he was consistently harassed from 2015 to 2022 and denied an accommodation related to bad weather conditions in 2023. His complaint include</w:t>
      </w:r>
      <w:r w:rsidR="00DE18BB" w:rsidRPr="00FF31CD">
        <w:rPr>
          <w:rFonts w:ascii="Calibri" w:hAnsi="Calibri" w:cs="Calibri"/>
          <w:sz w:val="22"/>
        </w:rPr>
        <w:t>d</w:t>
      </w:r>
      <w:r w:rsidR="00256C98" w:rsidRPr="00FF31CD">
        <w:rPr>
          <w:rFonts w:ascii="Calibri" w:hAnsi="Calibri" w:cs="Calibri"/>
          <w:sz w:val="22"/>
        </w:rPr>
        <w:t xml:space="preserve"> various documents as evidence, such as notes, text messages, and documentation related to a COVID-19 vaccination exemption request.</w:t>
      </w:r>
      <w:r w:rsidR="0084717F" w:rsidRPr="00FF31CD">
        <w:rPr>
          <w:rFonts w:ascii="Calibri" w:hAnsi="Calibri" w:cs="Calibri"/>
          <w:sz w:val="22"/>
        </w:rPr>
        <w:t xml:space="preserve">  </w:t>
      </w:r>
      <w:r w:rsidR="00256C98" w:rsidRPr="00FF31CD">
        <w:rPr>
          <w:rFonts w:ascii="Calibri" w:hAnsi="Calibri" w:cs="Calibri"/>
          <w:sz w:val="22"/>
        </w:rPr>
        <w:t>The defendant filed a motion to dismiss the complaint, arguing that Johnson failed to state a plausible claim and did not exhaust administrative remedies. The court, while acknowledging the liberality given to pro se complaints, found Johnson's discrimination claims lacking in sufficient detail and dismissed them. Johnson's complaint did not demonstrate a change in employment conditions or a hostile work environment attributable to the employer's actions. Additionally, his claims related to C</w:t>
      </w:r>
      <w:r w:rsidR="001C2786" w:rsidRPr="00FF31CD">
        <w:rPr>
          <w:rFonts w:ascii="Calibri" w:hAnsi="Calibri" w:cs="Calibri"/>
          <w:sz w:val="22"/>
        </w:rPr>
        <w:t>ovid</w:t>
      </w:r>
      <w:r w:rsidR="00256C98" w:rsidRPr="00FF31CD">
        <w:rPr>
          <w:rFonts w:ascii="Calibri" w:hAnsi="Calibri" w:cs="Calibri"/>
          <w:sz w:val="22"/>
        </w:rPr>
        <w:t>-19 testing and weather-related accommodation were not convincingly linked to religious discrimination.</w:t>
      </w:r>
      <w:r w:rsidR="0084717F" w:rsidRPr="00FF31CD">
        <w:rPr>
          <w:rFonts w:ascii="Calibri" w:hAnsi="Calibri" w:cs="Calibri"/>
          <w:sz w:val="22"/>
        </w:rPr>
        <w:t xml:space="preserve"> </w:t>
      </w:r>
      <w:r w:rsidR="00256C98" w:rsidRPr="00FF31CD">
        <w:rPr>
          <w:rFonts w:ascii="Calibri" w:hAnsi="Calibri" w:cs="Calibri"/>
          <w:sz w:val="22"/>
        </w:rPr>
        <w:t xml:space="preserve">The court also noted </w:t>
      </w:r>
      <w:r w:rsidR="001C2786" w:rsidRPr="00FF31CD">
        <w:rPr>
          <w:rFonts w:ascii="Calibri" w:hAnsi="Calibri" w:cs="Calibri"/>
          <w:sz w:val="22"/>
        </w:rPr>
        <w:t>the plaintiff</w:t>
      </w:r>
      <w:r w:rsidR="00256C98" w:rsidRPr="00FF31CD">
        <w:rPr>
          <w:rFonts w:ascii="Calibri" w:hAnsi="Calibri" w:cs="Calibri"/>
          <w:sz w:val="22"/>
        </w:rPr>
        <w:t xml:space="preserve">'s failure to exhaust administrative remedies for religious discrimination allegations but did not find enough evidence in the complaint to warrant dismissal on those grounds. Other claims based on criminal and consumer protection statutes were also dismissed for lack of legal basis. Finally, the court criticized the excessive length and lack of clarity in </w:t>
      </w:r>
      <w:r w:rsidR="00DA62B5" w:rsidRPr="00FF31CD">
        <w:rPr>
          <w:rFonts w:ascii="Calibri" w:hAnsi="Calibri" w:cs="Calibri"/>
          <w:sz w:val="22"/>
        </w:rPr>
        <w:t>the plaintiff</w:t>
      </w:r>
      <w:r w:rsidR="00256C98" w:rsidRPr="00FF31CD">
        <w:rPr>
          <w:rFonts w:ascii="Calibri" w:hAnsi="Calibri" w:cs="Calibri"/>
          <w:sz w:val="22"/>
        </w:rPr>
        <w:t>'s complaint, warning him to adhere to Rule 8's standards in any subsequent filings.</w:t>
      </w:r>
      <w:r w:rsidR="0084717F" w:rsidRPr="00FF31CD">
        <w:rPr>
          <w:rFonts w:ascii="Calibri" w:hAnsi="Calibri" w:cs="Calibri"/>
          <w:sz w:val="22"/>
        </w:rPr>
        <w:t xml:space="preserve"> </w:t>
      </w:r>
      <w:r w:rsidR="00256C98" w:rsidRPr="00FF31CD">
        <w:rPr>
          <w:rFonts w:ascii="Calibri" w:hAnsi="Calibri" w:cs="Calibri"/>
          <w:sz w:val="22"/>
        </w:rPr>
        <w:t xml:space="preserve">The court dismissed the complaint for failure to state a claim but granted </w:t>
      </w:r>
      <w:r w:rsidR="00DA62B5" w:rsidRPr="00FF31CD">
        <w:rPr>
          <w:rFonts w:ascii="Calibri" w:hAnsi="Calibri" w:cs="Calibri"/>
          <w:sz w:val="22"/>
        </w:rPr>
        <w:t>the plaintiff</w:t>
      </w:r>
      <w:r w:rsidR="00256C98" w:rsidRPr="00FF31CD">
        <w:rPr>
          <w:rFonts w:ascii="Calibri" w:hAnsi="Calibri" w:cs="Calibri"/>
          <w:sz w:val="22"/>
        </w:rPr>
        <w:t xml:space="preserve"> an opportunity to file an amended complaint by a specified date. </w:t>
      </w:r>
    </w:p>
    <w:p w14:paraId="54DD2F8E" w14:textId="77777777" w:rsidR="0074054E" w:rsidRPr="00FF31CD" w:rsidRDefault="0074054E" w:rsidP="0074054E">
      <w:pPr>
        <w:pStyle w:val="ListParagraph"/>
        <w:ind w:left="900" w:firstLine="0"/>
        <w:rPr>
          <w:rFonts w:ascii="Calibri" w:hAnsi="Calibri" w:cs="Calibri"/>
          <w:b/>
          <w:bCs/>
          <w:szCs w:val="24"/>
        </w:rPr>
      </w:pPr>
    </w:p>
    <w:p w14:paraId="5B8D58C9" w14:textId="5AEE9BD0" w:rsidR="00CD3E96" w:rsidRPr="00FF31CD" w:rsidRDefault="00CD3E96" w:rsidP="008F0555">
      <w:pPr>
        <w:pStyle w:val="ListParagraph"/>
        <w:numPr>
          <w:ilvl w:val="0"/>
          <w:numId w:val="1"/>
        </w:numPr>
        <w:rPr>
          <w:rFonts w:ascii="Calibri" w:hAnsi="Calibri" w:cs="Calibri"/>
          <w:szCs w:val="24"/>
        </w:rPr>
      </w:pPr>
      <w:r w:rsidRPr="00FF31CD">
        <w:rPr>
          <w:rFonts w:ascii="Calibri" w:hAnsi="Calibri" w:cs="Calibri"/>
          <w:b/>
          <w:bCs/>
          <w:sz w:val="22"/>
        </w:rPr>
        <w:t>Nezaj v. PS450 Bar and Restaurant, et al.,</w:t>
      </w:r>
      <w:r w:rsidR="0074054E" w:rsidRPr="00FF31CD">
        <w:rPr>
          <w:rFonts w:ascii="Calibri" w:hAnsi="Calibri" w:cs="Calibri"/>
          <w:b/>
          <w:bCs/>
          <w:sz w:val="22"/>
        </w:rPr>
        <w:t xml:space="preserve"> </w:t>
      </w:r>
      <w:r w:rsidRPr="00FF31CD">
        <w:rPr>
          <w:rFonts w:ascii="Calibri" w:hAnsi="Calibri" w:cs="Calibri"/>
          <w:sz w:val="22"/>
        </w:rPr>
        <w:t xml:space="preserve">No.22 Civ. </w:t>
      </w:r>
      <w:r w:rsidR="00762F36" w:rsidRPr="00FF31CD">
        <w:rPr>
          <w:rFonts w:ascii="Calibri" w:hAnsi="Calibri" w:cs="Calibri"/>
          <w:sz w:val="22"/>
        </w:rPr>
        <w:t>8494 (PAE) U.S. District Court, S.D. N.Y. (02/27/</w:t>
      </w:r>
      <w:r w:rsidR="00633EA5" w:rsidRPr="00FF31CD">
        <w:rPr>
          <w:rFonts w:ascii="Calibri" w:hAnsi="Calibri" w:cs="Calibri"/>
          <w:sz w:val="22"/>
        </w:rPr>
        <w:t>2024</w:t>
      </w:r>
      <w:r w:rsidR="0074054E" w:rsidRPr="00FF31CD">
        <w:rPr>
          <w:rFonts w:ascii="Calibri" w:hAnsi="Calibri" w:cs="Calibri"/>
          <w:sz w:val="22"/>
        </w:rPr>
        <w:t xml:space="preserve">). </w:t>
      </w:r>
      <w:r w:rsidR="003E5746" w:rsidRPr="00FF31CD">
        <w:rPr>
          <w:rFonts w:ascii="Calibri" w:hAnsi="Calibri" w:cs="Calibri"/>
          <w:sz w:val="22"/>
        </w:rPr>
        <w:t>Plaintiff</w:t>
      </w:r>
      <w:r w:rsidR="009C2A40" w:rsidRPr="00FF31CD">
        <w:rPr>
          <w:rFonts w:ascii="Calibri" w:hAnsi="Calibri" w:cs="Calibri"/>
          <w:sz w:val="22"/>
        </w:rPr>
        <w:t>, a gay New Orleans resident</w:t>
      </w:r>
      <w:r w:rsidR="003E5746" w:rsidRPr="00FF31CD">
        <w:rPr>
          <w:rFonts w:ascii="Calibri" w:hAnsi="Calibri" w:cs="Calibri"/>
          <w:sz w:val="22"/>
        </w:rPr>
        <w:t xml:space="preserve"> worked for 6 month</w:t>
      </w:r>
      <w:r w:rsidR="00443EA5" w:rsidRPr="00FF31CD">
        <w:rPr>
          <w:rFonts w:ascii="Calibri" w:hAnsi="Calibri" w:cs="Calibri"/>
          <w:sz w:val="22"/>
        </w:rPr>
        <w:t xml:space="preserve"> at the PS450 Bar and Restaurant</w:t>
      </w:r>
      <w:r w:rsidR="00433315" w:rsidRPr="00FF31CD">
        <w:rPr>
          <w:rFonts w:ascii="Calibri" w:hAnsi="Calibri" w:cs="Calibri"/>
          <w:sz w:val="22"/>
        </w:rPr>
        <w:t xml:space="preserve"> located in midtown Manhattan</w:t>
      </w:r>
      <w:r w:rsidR="00443EA5" w:rsidRPr="00FF31CD">
        <w:rPr>
          <w:rFonts w:ascii="Calibri" w:hAnsi="Calibri" w:cs="Calibri"/>
          <w:sz w:val="22"/>
        </w:rPr>
        <w:t xml:space="preserve"> as an events</w:t>
      </w:r>
      <w:r w:rsidR="00433315" w:rsidRPr="00FF31CD">
        <w:rPr>
          <w:rFonts w:ascii="Calibri" w:hAnsi="Calibri" w:cs="Calibri"/>
          <w:sz w:val="22"/>
        </w:rPr>
        <w:t xml:space="preserve"> and floor</w:t>
      </w:r>
      <w:r w:rsidR="00443EA5" w:rsidRPr="00FF31CD">
        <w:rPr>
          <w:rFonts w:ascii="Calibri" w:hAnsi="Calibri" w:cs="Calibri"/>
          <w:sz w:val="22"/>
        </w:rPr>
        <w:t xml:space="preserve"> manager until she was terminated. She sued for discrimination based on her gender and sexual orientation</w:t>
      </w:r>
      <w:r w:rsidR="0024749C" w:rsidRPr="00FF31CD">
        <w:rPr>
          <w:rFonts w:ascii="Calibri" w:hAnsi="Calibri" w:cs="Calibri"/>
          <w:sz w:val="22"/>
        </w:rPr>
        <w:t>, along with retaliation</w:t>
      </w:r>
      <w:r w:rsidR="00443EA5" w:rsidRPr="00FF31CD">
        <w:rPr>
          <w:rFonts w:ascii="Calibri" w:hAnsi="Calibri" w:cs="Calibri"/>
          <w:sz w:val="22"/>
        </w:rPr>
        <w:t xml:space="preserve">. </w:t>
      </w:r>
      <w:r w:rsidR="002D54FD" w:rsidRPr="00FF31CD">
        <w:rPr>
          <w:rFonts w:ascii="Calibri" w:hAnsi="Calibri" w:cs="Calibri"/>
          <w:sz w:val="22"/>
        </w:rPr>
        <w:t xml:space="preserve">Plaintiff argued that from the start she experienced an openly hostile workplace culture </w:t>
      </w:r>
      <w:r w:rsidR="00F71E3C" w:rsidRPr="00FF31CD">
        <w:rPr>
          <w:rFonts w:ascii="Calibri" w:hAnsi="Calibri" w:cs="Calibri"/>
          <w:sz w:val="22"/>
        </w:rPr>
        <w:t>dominated by</w:t>
      </w:r>
      <w:r w:rsidR="002D54FD" w:rsidRPr="00FF31CD">
        <w:rPr>
          <w:rFonts w:ascii="Calibri" w:hAnsi="Calibri" w:cs="Calibri"/>
          <w:sz w:val="22"/>
        </w:rPr>
        <w:t xml:space="preserve"> male managers similar to a Boy’s Club.</w:t>
      </w:r>
      <w:r w:rsidR="00D51922" w:rsidRPr="00FF31CD">
        <w:rPr>
          <w:rFonts w:ascii="Calibri" w:hAnsi="Calibri" w:cs="Calibri"/>
          <w:sz w:val="22"/>
        </w:rPr>
        <w:t xml:space="preserve"> Plaintiff was the only female manager. </w:t>
      </w:r>
      <w:r w:rsidR="00EF0DC3" w:rsidRPr="00FF31CD">
        <w:rPr>
          <w:rFonts w:ascii="Calibri" w:hAnsi="Calibri" w:cs="Calibri"/>
          <w:sz w:val="22"/>
        </w:rPr>
        <w:t xml:space="preserve">For example, defendant Miller kept touching plaintiff on her back, shoulders and knees and continued to do so after </w:t>
      </w:r>
      <w:r w:rsidR="006F2C24" w:rsidRPr="00FF31CD">
        <w:rPr>
          <w:rFonts w:ascii="Calibri" w:hAnsi="Calibri" w:cs="Calibri"/>
          <w:sz w:val="22"/>
        </w:rPr>
        <w:t xml:space="preserve">the </w:t>
      </w:r>
      <w:r w:rsidR="00EF0DC3" w:rsidRPr="00FF31CD">
        <w:rPr>
          <w:rFonts w:ascii="Calibri" w:hAnsi="Calibri" w:cs="Calibri"/>
          <w:sz w:val="22"/>
        </w:rPr>
        <w:t>plaintiff protested.</w:t>
      </w:r>
      <w:r w:rsidR="00BA0C70" w:rsidRPr="00FF31CD">
        <w:rPr>
          <w:rFonts w:ascii="Calibri" w:hAnsi="Calibri" w:cs="Calibri"/>
          <w:sz w:val="22"/>
        </w:rPr>
        <w:t xml:space="preserve"> He asked </w:t>
      </w:r>
      <w:r w:rsidR="00B444F3" w:rsidRPr="00FF31CD">
        <w:rPr>
          <w:rFonts w:ascii="Calibri" w:hAnsi="Calibri" w:cs="Calibri"/>
          <w:sz w:val="22"/>
        </w:rPr>
        <w:t>the plaintiff</w:t>
      </w:r>
      <w:r w:rsidR="00BA0C70" w:rsidRPr="00FF31CD">
        <w:rPr>
          <w:rFonts w:ascii="Calibri" w:hAnsi="Calibri" w:cs="Calibri"/>
          <w:sz w:val="22"/>
        </w:rPr>
        <w:t xml:space="preserve"> one morning if she had peed on a stick. </w:t>
      </w:r>
      <w:r w:rsidR="00B444F3" w:rsidRPr="00FF31CD">
        <w:rPr>
          <w:rFonts w:ascii="Calibri" w:hAnsi="Calibri" w:cs="Calibri"/>
          <w:sz w:val="22"/>
        </w:rPr>
        <w:t xml:space="preserve">Miller’s </w:t>
      </w:r>
      <w:r w:rsidR="00D81523" w:rsidRPr="00FF31CD">
        <w:rPr>
          <w:rFonts w:ascii="Calibri" w:hAnsi="Calibri" w:cs="Calibri"/>
          <w:sz w:val="22"/>
        </w:rPr>
        <w:t xml:space="preserve">language was </w:t>
      </w:r>
      <w:r w:rsidR="001867DE" w:rsidRPr="00FF31CD">
        <w:rPr>
          <w:rFonts w:ascii="Calibri" w:hAnsi="Calibri" w:cs="Calibri"/>
          <w:sz w:val="22"/>
        </w:rPr>
        <w:t>misogynistic,</w:t>
      </w:r>
      <w:r w:rsidR="00D81523" w:rsidRPr="00FF31CD">
        <w:rPr>
          <w:rFonts w:ascii="Calibri" w:hAnsi="Calibri" w:cs="Calibri"/>
          <w:sz w:val="22"/>
        </w:rPr>
        <w:t xml:space="preserve"> and he treated male managers with more favoritism than the plaintiff.</w:t>
      </w:r>
      <w:r w:rsidR="001867DE" w:rsidRPr="00FF31CD">
        <w:rPr>
          <w:rFonts w:ascii="Calibri" w:hAnsi="Calibri" w:cs="Calibri"/>
          <w:sz w:val="22"/>
        </w:rPr>
        <w:t xml:space="preserve"> After plaintiff reported the misconduct, the male managers shunned the plaintiff.</w:t>
      </w:r>
      <w:r w:rsidR="0024749C" w:rsidRPr="00FF31CD">
        <w:rPr>
          <w:rFonts w:ascii="Calibri" w:hAnsi="Calibri" w:cs="Calibri"/>
          <w:sz w:val="22"/>
        </w:rPr>
        <w:t xml:space="preserve"> Defendant Miller </w:t>
      </w:r>
      <w:r w:rsidR="000A2ACE" w:rsidRPr="00FF31CD">
        <w:rPr>
          <w:rFonts w:ascii="Calibri" w:hAnsi="Calibri" w:cs="Calibri"/>
          <w:sz w:val="22"/>
        </w:rPr>
        <w:t xml:space="preserve">moved to dismiss the </w:t>
      </w:r>
      <w:r w:rsidR="00D108A9" w:rsidRPr="00FF31CD">
        <w:rPr>
          <w:rFonts w:ascii="Calibri" w:hAnsi="Calibri" w:cs="Calibri"/>
          <w:sz w:val="22"/>
        </w:rPr>
        <w:t>claims,</w:t>
      </w:r>
      <w:r w:rsidR="000A2ACE" w:rsidRPr="00FF31CD">
        <w:rPr>
          <w:rFonts w:ascii="Calibri" w:hAnsi="Calibri" w:cs="Calibri"/>
          <w:sz w:val="22"/>
        </w:rPr>
        <w:t xml:space="preserve"> and the court </w:t>
      </w:r>
      <w:r w:rsidR="002E4040" w:rsidRPr="00FF31CD">
        <w:rPr>
          <w:rFonts w:ascii="Calibri" w:hAnsi="Calibri" w:cs="Calibri"/>
          <w:sz w:val="22"/>
        </w:rPr>
        <w:t>would not dismiss the claims fo</w:t>
      </w:r>
      <w:r w:rsidR="00D1663C" w:rsidRPr="00FF31CD">
        <w:rPr>
          <w:rFonts w:ascii="Calibri" w:hAnsi="Calibri" w:cs="Calibri"/>
          <w:sz w:val="22"/>
        </w:rPr>
        <w:t>r gender discrimination</w:t>
      </w:r>
      <w:r w:rsidR="000043E5" w:rsidRPr="00FF31CD">
        <w:rPr>
          <w:rFonts w:ascii="Calibri" w:hAnsi="Calibri" w:cs="Calibri"/>
          <w:sz w:val="22"/>
        </w:rPr>
        <w:t xml:space="preserve"> </w:t>
      </w:r>
      <w:r w:rsidR="001246DF" w:rsidRPr="00FF31CD">
        <w:rPr>
          <w:rFonts w:ascii="Calibri" w:hAnsi="Calibri" w:cs="Calibri"/>
          <w:sz w:val="22"/>
        </w:rPr>
        <w:t xml:space="preserve">or </w:t>
      </w:r>
      <w:r w:rsidR="000043E5" w:rsidRPr="00FF31CD">
        <w:rPr>
          <w:rFonts w:ascii="Calibri" w:hAnsi="Calibri" w:cs="Calibri"/>
          <w:sz w:val="22"/>
        </w:rPr>
        <w:t>retaliation</w:t>
      </w:r>
      <w:r w:rsidR="00D1663C" w:rsidRPr="00FF31CD">
        <w:rPr>
          <w:rFonts w:ascii="Calibri" w:hAnsi="Calibri" w:cs="Calibri"/>
          <w:sz w:val="22"/>
        </w:rPr>
        <w:t xml:space="preserve"> but did dismiss the plaintiff’s claims against Miller for sexual orientation discrimination as the </w:t>
      </w:r>
      <w:r w:rsidR="001246DF" w:rsidRPr="00FF31CD">
        <w:rPr>
          <w:rFonts w:ascii="Calibri" w:hAnsi="Calibri" w:cs="Calibri"/>
          <w:sz w:val="22"/>
        </w:rPr>
        <w:t xml:space="preserve">plaintiff did not support any evidence to such claim. </w:t>
      </w:r>
    </w:p>
    <w:p w14:paraId="7F4271E9" w14:textId="77777777" w:rsidR="00EE4FEB" w:rsidRPr="00FF31CD" w:rsidRDefault="00EE4FEB" w:rsidP="00EE4FEB">
      <w:pPr>
        <w:pStyle w:val="ListParagraph"/>
        <w:rPr>
          <w:rFonts w:ascii="Calibri" w:hAnsi="Calibri" w:cs="Calibri"/>
          <w:szCs w:val="24"/>
        </w:rPr>
      </w:pPr>
    </w:p>
    <w:p w14:paraId="1F3CC825" w14:textId="6FB8FB59" w:rsidR="00F53644" w:rsidRPr="00FF31CD" w:rsidRDefault="00161632" w:rsidP="008F0555">
      <w:pPr>
        <w:pStyle w:val="ListParagraph"/>
        <w:numPr>
          <w:ilvl w:val="0"/>
          <w:numId w:val="1"/>
        </w:numPr>
        <w:rPr>
          <w:rFonts w:ascii="Calibri" w:hAnsi="Calibri" w:cs="Calibri"/>
          <w:sz w:val="22"/>
        </w:rPr>
      </w:pPr>
      <w:r w:rsidRPr="00FF31CD">
        <w:rPr>
          <w:rFonts w:ascii="Calibri" w:hAnsi="Calibri" w:cs="Calibri"/>
          <w:b/>
          <w:bCs/>
          <w:szCs w:val="24"/>
        </w:rPr>
        <w:t xml:space="preserve">Ojeda v. Ian Schrager, et al, </w:t>
      </w:r>
      <w:r w:rsidRPr="00FF31CD">
        <w:rPr>
          <w:rFonts w:ascii="Calibri" w:hAnsi="Calibri" w:cs="Calibri"/>
          <w:sz w:val="22"/>
        </w:rPr>
        <w:t xml:space="preserve">No. 23-cv-8237 (JPO),U.S. District </w:t>
      </w:r>
      <w:r w:rsidR="007A6398" w:rsidRPr="00FF31CD">
        <w:rPr>
          <w:rFonts w:ascii="Calibri" w:hAnsi="Calibri" w:cs="Calibri"/>
          <w:sz w:val="22"/>
        </w:rPr>
        <w:t>C</w:t>
      </w:r>
      <w:r w:rsidRPr="00FF31CD">
        <w:rPr>
          <w:rFonts w:ascii="Calibri" w:hAnsi="Calibri" w:cs="Calibri"/>
          <w:sz w:val="22"/>
        </w:rPr>
        <w:t>ourt, S.D. N</w:t>
      </w:r>
      <w:r w:rsidR="00222CAB" w:rsidRPr="00FF31CD">
        <w:rPr>
          <w:rFonts w:ascii="Calibri" w:hAnsi="Calibri" w:cs="Calibri"/>
          <w:sz w:val="22"/>
        </w:rPr>
        <w:t>.</w:t>
      </w:r>
      <w:r w:rsidRPr="00FF31CD">
        <w:rPr>
          <w:rFonts w:ascii="Calibri" w:hAnsi="Calibri" w:cs="Calibri"/>
          <w:sz w:val="22"/>
        </w:rPr>
        <w:t xml:space="preserve"> Y. </w:t>
      </w:r>
      <w:r w:rsidR="00222CAB" w:rsidRPr="00FF31CD">
        <w:rPr>
          <w:rFonts w:ascii="Calibri" w:hAnsi="Calibri" w:cs="Calibri"/>
          <w:sz w:val="22"/>
        </w:rPr>
        <w:t xml:space="preserve"> </w:t>
      </w:r>
      <w:r w:rsidRPr="00FF31CD">
        <w:rPr>
          <w:rFonts w:ascii="Calibri" w:hAnsi="Calibri" w:cs="Calibri"/>
          <w:sz w:val="22"/>
        </w:rPr>
        <w:t>(05/13/</w:t>
      </w:r>
      <w:r w:rsidR="00633EA5" w:rsidRPr="00FF31CD">
        <w:rPr>
          <w:rFonts w:ascii="Calibri" w:hAnsi="Calibri" w:cs="Calibri"/>
          <w:sz w:val="22"/>
        </w:rPr>
        <w:t>2024</w:t>
      </w:r>
      <w:r w:rsidR="002C403D" w:rsidRPr="00FF31CD">
        <w:rPr>
          <w:rFonts w:ascii="Calibri" w:hAnsi="Calibri" w:cs="Calibri"/>
          <w:sz w:val="22"/>
        </w:rPr>
        <w:t xml:space="preserve">). </w:t>
      </w:r>
      <w:r w:rsidR="006169B1" w:rsidRPr="00FF31CD">
        <w:rPr>
          <w:rFonts w:ascii="Calibri" w:hAnsi="Calibri" w:cs="Calibri"/>
          <w:sz w:val="22"/>
        </w:rPr>
        <w:t xml:space="preserve">Plaintiff filed a lawsuit against her former employers, Ian Schrager and IS </w:t>
      </w:r>
      <w:r w:rsidR="006169B1" w:rsidRPr="00FF31CD">
        <w:rPr>
          <w:rFonts w:ascii="Calibri" w:hAnsi="Calibri" w:cs="Calibri"/>
          <w:sz w:val="22"/>
        </w:rPr>
        <w:lastRenderedPageBreak/>
        <w:t xml:space="preserve">Chrystie Management LLC d/b/a Public Hotel, alleging violations of Title VII of the Civil Rights Act of 1964 and the New York City Human Rights Law. </w:t>
      </w:r>
      <w:r w:rsidR="006F2C24" w:rsidRPr="00FF31CD">
        <w:rPr>
          <w:rFonts w:ascii="Calibri" w:hAnsi="Calibri" w:cs="Calibri"/>
          <w:sz w:val="22"/>
        </w:rPr>
        <w:t>The plaintiff</w:t>
      </w:r>
      <w:r w:rsidR="006169B1" w:rsidRPr="00FF31CD">
        <w:rPr>
          <w:rFonts w:ascii="Calibri" w:hAnsi="Calibri" w:cs="Calibri"/>
          <w:sz w:val="22"/>
        </w:rPr>
        <w:t xml:space="preserve"> claimed that she was terminated from her position as Arrivals, Departures, and Guest Experience Manager at Public Hotel because of her pregnancy. The defendants filed a motion to dismiss the case, arguing that plaintiff failed to state a plausible claim. The court granted the motion in part and denied it in part. The court found that plaintiff had adequately alleged a prima facie case of sex discrimination under Title VII, as she demonstrated that she was within a protected class, qualified for her position, subjected to adverse employment action, and that the circumstances suggested discrimination. The court noted the close temporal proximity between plaintiff announcing her pregnancy and her termination, along with other factors indicating possible discrimination. As a result, plaintiff's claim under Title VII survived the motion to dismiss. As to</w:t>
      </w:r>
      <w:r w:rsidR="008C065F" w:rsidRPr="00FF31CD">
        <w:rPr>
          <w:rFonts w:ascii="Calibri" w:hAnsi="Calibri" w:cs="Calibri"/>
          <w:sz w:val="22"/>
        </w:rPr>
        <w:t xml:space="preserve"> the</w:t>
      </w:r>
      <w:r w:rsidR="006169B1" w:rsidRPr="00FF31CD">
        <w:rPr>
          <w:rFonts w:ascii="Calibri" w:hAnsi="Calibri" w:cs="Calibri"/>
          <w:sz w:val="22"/>
        </w:rPr>
        <w:t xml:space="preserve"> plaintiff’s claim under the New York City Human Rights Law (NYCHRL), the court applied a similar analysis to the Title VII claim, stating that claims under the NYCHRL are viewed independently and more liberally than federal counterparts. Therefore, since </w:t>
      </w:r>
      <w:r w:rsidR="00374512" w:rsidRPr="00FF31CD">
        <w:rPr>
          <w:rFonts w:ascii="Calibri" w:hAnsi="Calibri" w:cs="Calibri"/>
          <w:sz w:val="22"/>
        </w:rPr>
        <w:t>the plaintiff</w:t>
      </w:r>
      <w:r w:rsidR="006169B1" w:rsidRPr="00FF31CD">
        <w:rPr>
          <w:rFonts w:ascii="Calibri" w:hAnsi="Calibri" w:cs="Calibri"/>
          <w:sz w:val="22"/>
        </w:rPr>
        <w:t xml:space="preserve"> had adequately pleaded a sex discrimination claim under Title VII, her NYCHRL claim also survived. However, </w:t>
      </w:r>
      <w:r w:rsidR="00374512" w:rsidRPr="00FF31CD">
        <w:rPr>
          <w:rFonts w:ascii="Calibri" w:hAnsi="Calibri" w:cs="Calibri"/>
          <w:sz w:val="22"/>
        </w:rPr>
        <w:t xml:space="preserve">the </w:t>
      </w:r>
      <w:r w:rsidR="006169B1" w:rsidRPr="00FF31CD">
        <w:rPr>
          <w:rFonts w:ascii="Calibri" w:hAnsi="Calibri" w:cs="Calibri"/>
          <w:sz w:val="22"/>
        </w:rPr>
        <w:t xml:space="preserve">plaintiff’s claims against individual defendant Ian Schrager under the NYCHRL were dismissed. The court found that plaintiff failed to allege Schrager's personal involvement in the discriminatory acts, as required under the NYCHRL. Allegations regarding Schrager's control over the hotel's decisions and his statements about the hotel's brand were deemed insufficient to establish his direct involvement in </w:t>
      </w:r>
      <w:r w:rsidR="00374512" w:rsidRPr="00FF31CD">
        <w:rPr>
          <w:rFonts w:ascii="Calibri" w:hAnsi="Calibri" w:cs="Calibri"/>
          <w:sz w:val="22"/>
        </w:rPr>
        <w:t>the plaintiff</w:t>
      </w:r>
      <w:r w:rsidR="006169B1" w:rsidRPr="00FF31CD">
        <w:rPr>
          <w:rFonts w:ascii="Calibri" w:hAnsi="Calibri" w:cs="Calibri"/>
          <w:sz w:val="22"/>
        </w:rPr>
        <w:t xml:space="preserve">'s termination. </w:t>
      </w:r>
      <w:r w:rsidR="003A6C25" w:rsidRPr="00FF31CD">
        <w:rPr>
          <w:rFonts w:ascii="Calibri" w:hAnsi="Calibri" w:cs="Calibri"/>
          <w:sz w:val="22"/>
        </w:rPr>
        <w:t>T</w:t>
      </w:r>
      <w:r w:rsidR="006169B1" w:rsidRPr="00FF31CD">
        <w:rPr>
          <w:rFonts w:ascii="Calibri" w:hAnsi="Calibri" w:cs="Calibri"/>
          <w:sz w:val="22"/>
        </w:rPr>
        <w:t>he court granted the motion to dismiss in part, allowing the case to proceed against IS Development LLC but dismissing Ian Schrager as a party.</w:t>
      </w:r>
      <w:r w:rsidR="002C403D" w:rsidRPr="00FF31CD">
        <w:rPr>
          <w:rFonts w:ascii="Calibri" w:hAnsi="Calibri" w:cs="Calibri"/>
          <w:sz w:val="22"/>
        </w:rPr>
        <w:t xml:space="preserve"> </w:t>
      </w:r>
    </w:p>
    <w:p w14:paraId="4D057443" w14:textId="77777777" w:rsidR="00381263" w:rsidRPr="00FF31CD" w:rsidRDefault="00381263" w:rsidP="00381263">
      <w:pPr>
        <w:pStyle w:val="ListParagraph"/>
        <w:ind w:left="1080" w:firstLine="0"/>
        <w:rPr>
          <w:rFonts w:ascii="Calibri" w:hAnsi="Calibri" w:cs="Calibri"/>
          <w:sz w:val="22"/>
        </w:rPr>
      </w:pPr>
    </w:p>
    <w:p w14:paraId="57B23E64" w14:textId="0B38F3A3" w:rsidR="00381263" w:rsidRPr="00FF31CD" w:rsidRDefault="00491404" w:rsidP="008F0555">
      <w:pPr>
        <w:pStyle w:val="ListParagraph"/>
        <w:numPr>
          <w:ilvl w:val="0"/>
          <w:numId w:val="1"/>
        </w:numPr>
        <w:rPr>
          <w:rFonts w:ascii="Calibri" w:hAnsi="Calibri" w:cs="Calibri"/>
          <w:sz w:val="22"/>
        </w:rPr>
      </w:pPr>
      <w:r w:rsidRPr="00FF31CD">
        <w:rPr>
          <w:rFonts w:ascii="Calibri" w:hAnsi="Calibri" w:cs="Calibri"/>
          <w:b/>
          <w:bCs/>
          <w:sz w:val="22"/>
        </w:rPr>
        <w:t>Donnie Beach v. Bojangles’ Restaurants, Inc.</w:t>
      </w:r>
      <w:r w:rsidRPr="00FF31CD">
        <w:rPr>
          <w:rFonts w:ascii="Calibri" w:hAnsi="Calibri" w:cs="Calibri"/>
          <w:sz w:val="22"/>
        </w:rPr>
        <w:t>, 2025 WL 700600 (E.D. KY, 2025).  Plaintiff is an African-American man who was a cook at defendant restaurant.  His hours were cut because, he was told, the eatery was not making enough money.  Two days later he was terminated because he allegedly did not show up for work.  He denied knowing he was on the schedule for the time in issue.  The restaurant manager, a white woman, sent a follow up text stating, “I’m sorry you are no less Niger employed with Bojangles per [the district manager] this was your second and third chance.”  Plaintiff sued alleging racial discrimination, based on the text.  He interpreted the note to be a misspelling of a racial slur.  The restaurant moved to dismiss, arguing that the manager mistyped “no longer” rather than the racial slur.   On a motion to dismiss, the court must draw inferences in favor of the nonmoving party, which would find that the text said “.  . .  . one less [racial slur]</w:t>
      </w:r>
      <w:r w:rsidR="008F69B4" w:rsidRPr="00FF31CD">
        <w:rPr>
          <w:rFonts w:ascii="Calibri" w:hAnsi="Calibri" w:cs="Calibri"/>
          <w:sz w:val="22"/>
        </w:rPr>
        <w:t>.”</w:t>
      </w:r>
      <w:r w:rsidRPr="00FF31CD">
        <w:rPr>
          <w:rFonts w:ascii="Calibri" w:hAnsi="Calibri" w:cs="Calibri"/>
          <w:sz w:val="22"/>
        </w:rPr>
        <w:t xml:space="preserve">   For purposes of the motion to dismiss, the court held the text in question was sufficient from a white supervisor to a black employee to conclude that “racial animus infected the decision-making  progress.”  Therefore, defendant’s motion to dismiss was denied.</w:t>
      </w:r>
    </w:p>
    <w:p w14:paraId="4FC2A681" w14:textId="77777777" w:rsidR="00062CD3" w:rsidRPr="00FF31CD" w:rsidRDefault="00062CD3" w:rsidP="00062CD3">
      <w:pPr>
        <w:pStyle w:val="ListParagraph"/>
        <w:ind w:left="1080" w:firstLine="0"/>
        <w:rPr>
          <w:rFonts w:ascii="Calibri" w:hAnsi="Calibri" w:cs="Calibri"/>
          <w:sz w:val="22"/>
        </w:rPr>
      </w:pPr>
    </w:p>
    <w:p w14:paraId="1B2E8667" w14:textId="23AF9565" w:rsidR="00062CD3" w:rsidRPr="00FF31CD" w:rsidRDefault="00F261FA" w:rsidP="008F0555">
      <w:pPr>
        <w:pStyle w:val="ListParagraph"/>
        <w:numPr>
          <w:ilvl w:val="0"/>
          <w:numId w:val="1"/>
        </w:numPr>
        <w:rPr>
          <w:rFonts w:ascii="Calibri" w:hAnsi="Calibri" w:cs="Calibri"/>
          <w:sz w:val="22"/>
        </w:rPr>
      </w:pPr>
      <w:r w:rsidRPr="00FF31CD">
        <w:rPr>
          <w:rFonts w:ascii="Calibri" w:hAnsi="Calibri" w:cs="Calibri"/>
          <w:b/>
          <w:bCs/>
          <w:sz w:val="22"/>
        </w:rPr>
        <w:t>Quarles v. Modus Hotels</w:t>
      </w:r>
      <w:r w:rsidRPr="00FF31CD">
        <w:rPr>
          <w:rFonts w:ascii="Calibri" w:hAnsi="Calibri" w:cs="Calibri"/>
          <w:sz w:val="22"/>
        </w:rPr>
        <w:t>, 2024 WL 3696484 (E.D. PA., 2024).  Plaintiff, a Black woman, was a Guest Service Agent (GSA) at defendant hotel.  She was offered the opportunity to live at the hotel, but on terms less favorable than offered a white female GSA.  She was terminated a month later for unacceptable behavior when she returned to the hotel after celebrating her birthday, felt sick after having several drinks, and vomited in a trash can in the lobby.  No guests were in the lobby at the time.  She claimed the white GSA had similarly vomited in the lobby and was not dismissed.  Further, the white GSA once commented to plaintiff that plaintiff “must be on CPT</w:t>
      </w:r>
      <w:r w:rsidR="008F69B4" w:rsidRPr="00FF31CD">
        <w:rPr>
          <w:rFonts w:ascii="Calibri" w:hAnsi="Calibri" w:cs="Calibri"/>
          <w:sz w:val="22"/>
        </w:rPr>
        <w:t>,”</w:t>
      </w:r>
      <w:r w:rsidRPr="00FF31CD">
        <w:rPr>
          <w:rFonts w:ascii="Calibri" w:hAnsi="Calibri" w:cs="Calibri"/>
          <w:sz w:val="22"/>
        </w:rPr>
        <w:t xml:space="preserve"> a pejorative acronym for colored people time.  Plaintiff sued for </w:t>
      </w:r>
      <w:r w:rsidRPr="00FF31CD">
        <w:rPr>
          <w:rFonts w:ascii="Calibri" w:hAnsi="Calibri" w:cs="Calibri"/>
          <w:sz w:val="22"/>
        </w:rPr>
        <w:lastRenderedPageBreak/>
        <w:t>hostile work environment, discrimination by disparate treatment, and retaliation. The court dismissed the case, failing to find sufficiently severe or pervasive discrimination.</w:t>
      </w:r>
    </w:p>
    <w:p w14:paraId="0B0A5CFF" w14:textId="77777777" w:rsidR="0013133F" w:rsidRPr="00FF31CD" w:rsidRDefault="0013133F" w:rsidP="0013133F">
      <w:pPr>
        <w:pStyle w:val="ListParagraph"/>
        <w:ind w:firstLine="0"/>
        <w:rPr>
          <w:rFonts w:ascii="Calibri" w:hAnsi="Calibri" w:cs="Calibri"/>
          <w:b/>
          <w:bCs/>
          <w:szCs w:val="24"/>
        </w:rPr>
      </w:pPr>
    </w:p>
    <w:p w14:paraId="5A15AE8B" w14:textId="211FEC71" w:rsidR="00581268" w:rsidRPr="00FF31CD" w:rsidRDefault="00581268">
      <w:pPr>
        <w:rPr>
          <w:rFonts w:ascii="Calibri" w:hAnsi="Calibri" w:cs="Calibri"/>
          <w:b/>
          <w:bCs/>
          <w:sz w:val="24"/>
          <w:szCs w:val="24"/>
        </w:rPr>
      </w:pPr>
      <w:r w:rsidRPr="00FF31CD">
        <w:rPr>
          <w:rFonts w:ascii="Calibri" w:hAnsi="Calibri" w:cs="Calibri"/>
          <w:b/>
          <w:bCs/>
          <w:sz w:val="24"/>
          <w:szCs w:val="24"/>
        </w:rPr>
        <w:t xml:space="preserve">Employment </w:t>
      </w:r>
      <w:r w:rsidR="00557AC0" w:rsidRPr="00FF31CD">
        <w:rPr>
          <w:rFonts w:ascii="Calibri" w:hAnsi="Calibri" w:cs="Calibri"/>
          <w:b/>
          <w:bCs/>
          <w:sz w:val="24"/>
          <w:szCs w:val="24"/>
        </w:rPr>
        <w:t>–</w:t>
      </w:r>
      <w:r w:rsidRPr="00FF31CD">
        <w:rPr>
          <w:rFonts w:ascii="Calibri" w:hAnsi="Calibri" w:cs="Calibri"/>
          <w:b/>
          <w:bCs/>
          <w:sz w:val="24"/>
          <w:szCs w:val="24"/>
        </w:rPr>
        <w:t xml:space="preserve"> Discrimination</w:t>
      </w:r>
      <w:r w:rsidR="00557AC0" w:rsidRPr="00FF31CD">
        <w:rPr>
          <w:rFonts w:ascii="Calibri" w:hAnsi="Calibri" w:cs="Calibri"/>
          <w:b/>
          <w:bCs/>
          <w:sz w:val="24"/>
          <w:szCs w:val="24"/>
        </w:rPr>
        <w:t>/Attorney Fees</w:t>
      </w:r>
    </w:p>
    <w:p w14:paraId="05790D79" w14:textId="1CC57650" w:rsidR="00557AC0" w:rsidRPr="00FF31CD" w:rsidRDefault="001F609A" w:rsidP="00557AC0">
      <w:pPr>
        <w:pStyle w:val="ListParagraph"/>
        <w:numPr>
          <w:ilvl w:val="0"/>
          <w:numId w:val="1"/>
        </w:numPr>
        <w:rPr>
          <w:rFonts w:ascii="Calibri" w:hAnsi="Calibri" w:cs="Calibri"/>
          <w:sz w:val="22"/>
        </w:rPr>
      </w:pPr>
      <w:r w:rsidRPr="00FF31CD">
        <w:rPr>
          <w:rFonts w:ascii="Calibri" w:hAnsi="Calibri" w:cs="Calibri"/>
          <w:b/>
          <w:bCs/>
          <w:sz w:val="22"/>
        </w:rPr>
        <w:t>Pinckney v. Key West Resort at Lake Dora</w:t>
      </w:r>
      <w:r w:rsidRPr="00FF31CD">
        <w:rPr>
          <w:rFonts w:ascii="Calibri" w:hAnsi="Calibri" w:cs="Calibri"/>
          <w:sz w:val="22"/>
        </w:rPr>
        <w:t xml:space="preserve">, 202 WL 1068567 (M.D. FL, 4/9/2025). Plaintiff sued for employment discrimination and won a judgment for damages and punitive damages.  He sought an award of attorney’s fees.  The court identified 12 factors a court should consider when deciding the reasonableness of fees.  The court upheld the request for $500/hour but reduced the number of hours from 36 to 25, noting that defendant defaulted in the case.    </w:t>
      </w:r>
    </w:p>
    <w:p w14:paraId="4F5D389B" w14:textId="77777777" w:rsidR="001F609A" w:rsidRPr="00FF31CD" w:rsidRDefault="001F609A" w:rsidP="001F609A">
      <w:pPr>
        <w:pStyle w:val="ListParagraph"/>
        <w:ind w:left="1080" w:firstLine="0"/>
        <w:rPr>
          <w:rFonts w:ascii="Calibri" w:hAnsi="Calibri" w:cs="Calibri"/>
          <w:b/>
          <w:bCs/>
          <w:szCs w:val="24"/>
        </w:rPr>
      </w:pPr>
    </w:p>
    <w:p w14:paraId="0F524E64" w14:textId="2C31A2B1" w:rsidR="00855122" w:rsidRPr="00FF31CD" w:rsidRDefault="00855122">
      <w:pPr>
        <w:rPr>
          <w:rFonts w:ascii="Calibri" w:hAnsi="Calibri" w:cs="Calibri"/>
          <w:b/>
          <w:bCs/>
          <w:sz w:val="24"/>
          <w:szCs w:val="24"/>
        </w:rPr>
      </w:pPr>
      <w:r w:rsidRPr="00FF31CD">
        <w:rPr>
          <w:rFonts w:ascii="Calibri" w:hAnsi="Calibri" w:cs="Calibri"/>
          <w:b/>
          <w:bCs/>
          <w:sz w:val="24"/>
          <w:szCs w:val="24"/>
        </w:rPr>
        <w:t>Employment – Discrimination/Lactation Location</w:t>
      </w:r>
    </w:p>
    <w:p w14:paraId="7B442D5C" w14:textId="77777777" w:rsidR="000C4CB5" w:rsidRPr="00FF31CD" w:rsidRDefault="000C4CB5" w:rsidP="00855122">
      <w:pPr>
        <w:pStyle w:val="ListParagraph"/>
        <w:numPr>
          <w:ilvl w:val="0"/>
          <w:numId w:val="1"/>
        </w:numPr>
        <w:rPr>
          <w:rFonts w:ascii="Calibri" w:hAnsi="Calibri" w:cs="Calibri"/>
          <w:sz w:val="22"/>
        </w:rPr>
      </w:pPr>
      <w:r w:rsidRPr="00FF31CD">
        <w:rPr>
          <w:rFonts w:ascii="Calibri" w:hAnsi="Calibri" w:cs="Calibri"/>
          <w:b/>
          <w:bCs/>
          <w:sz w:val="22"/>
        </w:rPr>
        <w:t xml:space="preserve">Johnson v. Wag Hotels, Inc., </w:t>
      </w:r>
      <w:r w:rsidRPr="00FF31CD">
        <w:rPr>
          <w:rFonts w:ascii="Calibri" w:hAnsi="Calibri" w:cs="Calibri"/>
          <w:sz w:val="22"/>
        </w:rPr>
        <w:t xml:space="preserve">2025 WL 992573 (N.D. TX, 4/2/2025).  Plaintiff was an employee of defendant hotel.  In this lawsuit plaintiff, appearing pro se, seeks a suitable lactation location at work for her to express milk.  Defendant offered her two possibilities – the attic of the hotel or a bathroom in the hotel used by guests and the public.  The court stated that plaintiff’s complaint arguably implicated several laws.  The Pregnancy Discrimination Act states that discrimination against a woman who is lactating or expressing breast milk violates Title VII. The court noted that plaintiff did not allege that defendant took an adverse employment action against her because of the effects of pregnancy.  That negates a cause of action under both Title VII and the ADA. Under the Providing Urgent Maternal Protections for Nursing Mothers Act (PUMP Act), an employer is required to provide a place for employees to express breast milk shielded from view and free from intrusion from coworkers and the public.  However, a pre-condition to suing (absent exceptions not applicable here), the employee must notify the employer of the absence of an appropriate place, and give the employer 10 days to comply.    Plaintiff did not allege the necessary notice in her complaint.  The court granted defendant’s motion to dismiss but without prejudice and gave defendant three weeks to serve an amended complaint alleging a “plausible” cause of action. </w:t>
      </w:r>
    </w:p>
    <w:p w14:paraId="715D87DA" w14:textId="39B1F657" w:rsidR="00855122" w:rsidRPr="00FF31CD" w:rsidRDefault="000C4CB5" w:rsidP="000C4CB5">
      <w:pPr>
        <w:rPr>
          <w:rFonts w:ascii="Calibri" w:hAnsi="Calibri" w:cs="Calibri"/>
        </w:rPr>
      </w:pPr>
      <w:r w:rsidRPr="00FF31CD">
        <w:rPr>
          <w:rFonts w:ascii="Calibri" w:hAnsi="Calibri" w:cs="Calibri"/>
        </w:rPr>
        <w:t xml:space="preserve">                                             </w:t>
      </w:r>
    </w:p>
    <w:p w14:paraId="1958EC3D" w14:textId="5AE14649" w:rsidR="00665ECF" w:rsidRPr="00FF31CD" w:rsidRDefault="00665ECF">
      <w:pPr>
        <w:rPr>
          <w:rFonts w:ascii="Calibri" w:hAnsi="Calibri" w:cs="Calibri"/>
          <w:b/>
          <w:bCs/>
          <w:sz w:val="24"/>
          <w:szCs w:val="24"/>
        </w:rPr>
      </w:pPr>
      <w:r w:rsidRPr="00FF31CD">
        <w:rPr>
          <w:rFonts w:ascii="Calibri" w:hAnsi="Calibri" w:cs="Calibri"/>
          <w:b/>
          <w:bCs/>
          <w:sz w:val="24"/>
          <w:szCs w:val="24"/>
        </w:rPr>
        <w:t>Employment – FLSA</w:t>
      </w:r>
    </w:p>
    <w:p w14:paraId="61D7E772" w14:textId="4A4439A1" w:rsidR="00853B61" w:rsidRPr="00FF31CD" w:rsidRDefault="00853B61" w:rsidP="008F0555">
      <w:pPr>
        <w:pStyle w:val="ListParagraph"/>
        <w:numPr>
          <w:ilvl w:val="0"/>
          <w:numId w:val="1"/>
        </w:numPr>
        <w:rPr>
          <w:rFonts w:ascii="Calibri" w:hAnsi="Calibri" w:cs="Calibri"/>
          <w:sz w:val="22"/>
        </w:rPr>
      </w:pPr>
      <w:r w:rsidRPr="00FF31CD">
        <w:rPr>
          <w:rFonts w:ascii="Calibri" w:hAnsi="Calibri" w:cs="Calibri"/>
          <w:b/>
          <w:bCs/>
          <w:sz w:val="22"/>
        </w:rPr>
        <w:t xml:space="preserve">Amaya, et al v. La Grande Boucherie LLC, et. al </w:t>
      </w:r>
      <w:r w:rsidRPr="00FF31CD">
        <w:rPr>
          <w:rFonts w:ascii="Calibri" w:hAnsi="Calibri" w:cs="Calibri"/>
          <w:sz w:val="22"/>
        </w:rPr>
        <w:t xml:space="preserve">No. 23-cv-8897 (LJL) US District court, S.D.N.Y. (05/13/2024).    The case involves several plaintiffs who worked or are currently working at La Grande Boucherie, a restaurant in New York City. They allege violations of the Fair Labor Standards Act (FLSA) and the New York Labor Law (NYLL) against the restaurant's owners and operator. The plaintiffs claim that the defendants violated FLSA and NYLL provisions by not distributing all the tips collected among the food service workers, as required by law. They allege that the defendants established a tip pool but did not distribute all the tips to the workers, and that two individuals who were acting in managerial roles also participated in the tip pool, which is against the law. Additionally, the plaintiffs allege that the defendants withheld call-in pay from the food service workers, required employees to purchase and maintain their own uniforms, and retaliated against one of the plaintiffs for asserting her FLSA and NYLL rights by issuing pretextual write-ups and terminating her employment. The defendants moved to dismiss the amended complaint, arguing that the plaintiffs failed to state a claim for relief. The court granted the motion in part and denied it in part. Specifically, the court dismissed the minimum wage claim under NYLL but allowed the remaining claims to proceed. The court found that the plaintiffs adequately pleaded their claims regarding </w:t>
      </w:r>
      <w:r w:rsidRPr="00FF31CD">
        <w:rPr>
          <w:rFonts w:ascii="Calibri" w:hAnsi="Calibri" w:cs="Calibri"/>
          <w:sz w:val="22"/>
        </w:rPr>
        <w:lastRenderedPageBreak/>
        <w:t xml:space="preserve">unlawful tip retention, call-in pay violations, and uniform costs. Additionally, the court determined that the plaintiff who alleged retaliation had sufficiently stated claims under FLSA and NYLL. </w:t>
      </w:r>
      <w:r w:rsidR="001F53E4" w:rsidRPr="00FF31CD">
        <w:rPr>
          <w:rFonts w:ascii="Calibri" w:hAnsi="Calibri" w:cs="Calibri"/>
          <w:sz w:val="22"/>
        </w:rPr>
        <w:t xml:space="preserve">The </w:t>
      </w:r>
      <w:r w:rsidRPr="00FF31CD">
        <w:rPr>
          <w:rFonts w:ascii="Calibri" w:hAnsi="Calibri" w:cs="Calibri"/>
          <w:sz w:val="22"/>
        </w:rPr>
        <w:t>court granted the motion to dismiss the minimum wage claim but denied it for the other claims, allowing the case to proceed.</w:t>
      </w:r>
    </w:p>
    <w:p w14:paraId="255AE054" w14:textId="77777777" w:rsidR="00853B61" w:rsidRPr="00FF31CD" w:rsidRDefault="00853B61" w:rsidP="00853B61">
      <w:pPr>
        <w:pStyle w:val="ListParagraph"/>
        <w:ind w:left="900" w:firstLine="0"/>
        <w:rPr>
          <w:rFonts w:ascii="Calibri" w:hAnsi="Calibri" w:cs="Calibri"/>
          <w:sz w:val="22"/>
        </w:rPr>
      </w:pPr>
    </w:p>
    <w:p w14:paraId="37A561FC" w14:textId="58E494E1" w:rsidR="00E9693C" w:rsidRPr="00FF31CD" w:rsidRDefault="00E9693C" w:rsidP="008F0555">
      <w:pPr>
        <w:pStyle w:val="ListParagraph"/>
        <w:numPr>
          <w:ilvl w:val="0"/>
          <w:numId w:val="1"/>
        </w:numPr>
        <w:rPr>
          <w:rFonts w:ascii="Calibri" w:hAnsi="Calibri" w:cs="Calibri"/>
          <w:sz w:val="22"/>
        </w:rPr>
      </w:pPr>
      <w:r w:rsidRPr="00FF31CD">
        <w:rPr>
          <w:rFonts w:ascii="Calibri" w:hAnsi="Calibri" w:cs="Calibri"/>
          <w:b/>
          <w:bCs/>
          <w:sz w:val="22"/>
        </w:rPr>
        <w:t>Spears v. Bay Inn &amp; Suites Foley, LLC</w:t>
      </w:r>
      <w:r w:rsidR="00984EF1" w:rsidRPr="00FF31CD">
        <w:rPr>
          <w:rFonts w:ascii="Calibri" w:hAnsi="Calibri" w:cs="Calibri"/>
          <w:b/>
          <w:bCs/>
          <w:sz w:val="22"/>
        </w:rPr>
        <w:t>, et al</w:t>
      </w:r>
      <w:r w:rsidR="00984EF1" w:rsidRPr="00FF31CD">
        <w:rPr>
          <w:rFonts w:ascii="Calibri" w:hAnsi="Calibri" w:cs="Calibri"/>
          <w:sz w:val="22"/>
        </w:rPr>
        <w:t>, No. 22-13376 U.S. Ct. Appls,  11</w:t>
      </w:r>
      <w:r w:rsidR="00984EF1" w:rsidRPr="00FF31CD">
        <w:rPr>
          <w:rFonts w:ascii="Calibri" w:hAnsi="Calibri" w:cs="Calibri"/>
          <w:sz w:val="22"/>
          <w:vertAlign w:val="superscript"/>
        </w:rPr>
        <w:t>th</w:t>
      </w:r>
      <w:r w:rsidR="00984EF1" w:rsidRPr="00FF31CD">
        <w:rPr>
          <w:rFonts w:ascii="Calibri" w:hAnsi="Calibri" w:cs="Calibri"/>
          <w:sz w:val="22"/>
        </w:rPr>
        <w:t xml:space="preserve"> Circuit (06/20/2024).</w:t>
      </w:r>
      <w:r w:rsidR="00031A6D" w:rsidRPr="00FF31CD">
        <w:rPr>
          <w:rFonts w:ascii="Calibri" w:hAnsi="Calibri" w:cs="Calibri"/>
          <w:sz w:val="22"/>
        </w:rPr>
        <w:t xml:space="preserve"> The plaintiff worked as a front desk clerk at hotels </w:t>
      </w:r>
      <w:r w:rsidR="00BA0737" w:rsidRPr="00FF31CD">
        <w:rPr>
          <w:rFonts w:ascii="Calibri" w:hAnsi="Calibri" w:cs="Calibri"/>
          <w:sz w:val="22"/>
        </w:rPr>
        <w:t xml:space="preserve">located in Alabama and </w:t>
      </w:r>
      <w:r w:rsidR="00031A6D" w:rsidRPr="00FF31CD">
        <w:rPr>
          <w:rFonts w:ascii="Calibri" w:hAnsi="Calibri" w:cs="Calibri"/>
          <w:sz w:val="22"/>
        </w:rPr>
        <w:t>operated by defendants</w:t>
      </w:r>
      <w:r w:rsidR="00176071" w:rsidRPr="00FF31CD">
        <w:rPr>
          <w:rFonts w:ascii="Calibri" w:hAnsi="Calibri" w:cs="Calibri"/>
          <w:sz w:val="22"/>
        </w:rPr>
        <w:t xml:space="preserve">, Rick Patel Sr. and his son Rick “Sunny” Patel Jr., </w:t>
      </w:r>
      <w:r w:rsidR="00031A6D" w:rsidRPr="00FF31CD">
        <w:rPr>
          <w:rFonts w:ascii="Calibri" w:hAnsi="Calibri" w:cs="Calibri"/>
          <w:sz w:val="22"/>
        </w:rPr>
        <w:t xml:space="preserve">and </w:t>
      </w:r>
      <w:r w:rsidR="00C1185F" w:rsidRPr="00FF31CD">
        <w:rPr>
          <w:rFonts w:ascii="Calibri" w:hAnsi="Calibri" w:cs="Calibri"/>
          <w:sz w:val="22"/>
        </w:rPr>
        <w:t>the plaintiff</w:t>
      </w:r>
      <w:r w:rsidR="00031A6D" w:rsidRPr="00FF31CD">
        <w:rPr>
          <w:rFonts w:ascii="Calibri" w:hAnsi="Calibri" w:cs="Calibri"/>
          <w:sz w:val="22"/>
        </w:rPr>
        <w:t xml:space="preserve"> sued the </w:t>
      </w:r>
      <w:r w:rsidR="00C1185F" w:rsidRPr="00FF31CD">
        <w:rPr>
          <w:rFonts w:ascii="Calibri" w:hAnsi="Calibri" w:cs="Calibri"/>
          <w:sz w:val="22"/>
        </w:rPr>
        <w:t>defendants</w:t>
      </w:r>
      <w:r w:rsidR="00031A6D" w:rsidRPr="00FF31CD">
        <w:rPr>
          <w:rFonts w:ascii="Calibri" w:hAnsi="Calibri" w:cs="Calibri"/>
          <w:sz w:val="22"/>
        </w:rPr>
        <w:t xml:space="preserve"> for unpaid wages and overtime under FLSA.  The plaintiff argued that he </w:t>
      </w:r>
      <w:r w:rsidR="00C1185F" w:rsidRPr="00FF31CD">
        <w:rPr>
          <w:rFonts w:ascii="Calibri" w:hAnsi="Calibri" w:cs="Calibri"/>
          <w:sz w:val="22"/>
        </w:rPr>
        <w:t>w</w:t>
      </w:r>
      <w:r w:rsidR="00031A6D" w:rsidRPr="00FF31CD">
        <w:rPr>
          <w:rFonts w:ascii="Calibri" w:hAnsi="Calibri" w:cs="Calibri"/>
          <w:sz w:val="22"/>
        </w:rPr>
        <w:t>as paid</w:t>
      </w:r>
      <w:r w:rsidR="00176071" w:rsidRPr="00FF31CD">
        <w:rPr>
          <w:rFonts w:ascii="Calibri" w:hAnsi="Calibri" w:cs="Calibri"/>
          <w:sz w:val="22"/>
        </w:rPr>
        <w:t xml:space="preserve"> </w:t>
      </w:r>
      <w:r w:rsidR="00031A6D" w:rsidRPr="00FF31CD">
        <w:rPr>
          <w:rFonts w:ascii="Calibri" w:hAnsi="Calibri" w:cs="Calibri"/>
          <w:sz w:val="22"/>
        </w:rPr>
        <w:t>less than the</w:t>
      </w:r>
      <w:r w:rsidR="00176071" w:rsidRPr="00FF31CD">
        <w:rPr>
          <w:rFonts w:ascii="Calibri" w:hAnsi="Calibri" w:cs="Calibri"/>
          <w:sz w:val="22"/>
        </w:rPr>
        <w:t xml:space="preserve"> </w:t>
      </w:r>
      <w:r w:rsidR="00031A6D" w:rsidRPr="00FF31CD">
        <w:rPr>
          <w:rFonts w:ascii="Calibri" w:hAnsi="Calibri" w:cs="Calibri"/>
          <w:sz w:val="22"/>
        </w:rPr>
        <w:t xml:space="preserve">minimum wage and owed overtime pay for his work. </w:t>
      </w:r>
      <w:r w:rsidR="00C106D1" w:rsidRPr="00FF31CD">
        <w:rPr>
          <w:rFonts w:ascii="Calibri" w:hAnsi="Calibri" w:cs="Calibri"/>
          <w:sz w:val="22"/>
        </w:rPr>
        <w:t>The question was whether the son, “Sunny”</w:t>
      </w:r>
      <w:r w:rsidR="006F6CC4" w:rsidRPr="00FF31CD">
        <w:rPr>
          <w:rFonts w:ascii="Calibri" w:hAnsi="Calibri" w:cs="Calibri"/>
          <w:sz w:val="22"/>
        </w:rPr>
        <w:t xml:space="preserve"> could be held individually liable as an “employer” under the FLSA and how plaintiff’s </w:t>
      </w:r>
      <w:r w:rsidR="004A06A3" w:rsidRPr="00FF31CD">
        <w:rPr>
          <w:rFonts w:ascii="Calibri" w:hAnsi="Calibri" w:cs="Calibri"/>
          <w:sz w:val="22"/>
        </w:rPr>
        <w:t xml:space="preserve">lodging (the plaintiff stayed overnight due to his hours and </w:t>
      </w:r>
      <w:r w:rsidR="00E714BC" w:rsidRPr="00FF31CD">
        <w:rPr>
          <w:rFonts w:ascii="Calibri" w:hAnsi="Calibri" w:cs="Calibri"/>
          <w:sz w:val="22"/>
        </w:rPr>
        <w:t>his base being in</w:t>
      </w:r>
      <w:r w:rsidR="004A06A3" w:rsidRPr="00FF31CD">
        <w:rPr>
          <w:rFonts w:ascii="Calibri" w:hAnsi="Calibri" w:cs="Calibri"/>
          <w:sz w:val="22"/>
        </w:rPr>
        <w:t xml:space="preserve"> Florida)</w:t>
      </w:r>
      <w:r w:rsidR="00BE1508" w:rsidRPr="00FF31CD">
        <w:rPr>
          <w:rFonts w:ascii="Calibri" w:hAnsi="Calibri" w:cs="Calibri"/>
          <w:sz w:val="22"/>
        </w:rPr>
        <w:t xml:space="preserve"> should be factored into the wage calculation. The court affirmed the lower </w:t>
      </w:r>
      <w:r w:rsidR="00390CEB" w:rsidRPr="00FF31CD">
        <w:rPr>
          <w:rFonts w:ascii="Calibri" w:hAnsi="Calibri" w:cs="Calibri"/>
          <w:sz w:val="22"/>
        </w:rPr>
        <w:t>court’s</w:t>
      </w:r>
      <w:r w:rsidR="00BE1508" w:rsidRPr="00FF31CD">
        <w:rPr>
          <w:rFonts w:ascii="Calibri" w:hAnsi="Calibri" w:cs="Calibri"/>
          <w:sz w:val="22"/>
        </w:rPr>
        <w:t xml:space="preserve"> ruling that Sunny was an employer under th</w:t>
      </w:r>
      <w:r w:rsidR="00437083" w:rsidRPr="00FF31CD">
        <w:rPr>
          <w:rFonts w:ascii="Calibri" w:hAnsi="Calibri" w:cs="Calibri"/>
          <w:sz w:val="22"/>
        </w:rPr>
        <w:t>e</w:t>
      </w:r>
      <w:r w:rsidR="00BE1508" w:rsidRPr="00FF31CD">
        <w:rPr>
          <w:rFonts w:ascii="Calibri" w:hAnsi="Calibri" w:cs="Calibri"/>
          <w:sz w:val="22"/>
        </w:rPr>
        <w:t xml:space="preserve"> FLSA as he was involved in the day-to-day </w:t>
      </w:r>
      <w:r w:rsidR="00437083" w:rsidRPr="00FF31CD">
        <w:rPr>
          <w:rFonts w:ascii="Calibri" w:hAnsi="Calibri" w:cs="Calibri"/>
          <w:sz w:val="22"/>
        </w:rPr>
        <w:t>operations</w:t>
      </w:r>
      <w:r w:rsidR="00BE1508" w:rsidRPr="00FF31CD">
        <w:rPr>
          <w:rFonts w:ascii="Calibri" w:hAnsi="Calibri" w:cs="Calibri"/>
          <w:sz w:val="22"/>
        </w:rPr>
        <w:t xml:space="preserve"> and had </w:t>
      </w:r>
      <w:r w:rsidR="00437083" w:rsidRPr="00FF31CD">
        <w:rPr>
          <w:rFonts w:ascii="Calibri" w:hAnsi="Calibri" w:cs="Calibri"/>
          <w:sz w:val="22"/>
        </w:rPr>
        <w:t>financial</w:t>
      </w:r>
      <w:r w:rsidR="00BE1508" w:rsidRPr="00FF31CD">
        <w:rPr>
          <w:rFonts w:ascii="Calibri" w:hAnsi="Calibri" w:cs="Calibri"/>
          <w:sz w:val="22"/>
        </w:rPr>
        <w:t xml:space="preserve"> control</w:t>
      </w:r>
      <w:r w:rsidR="00437083" w:rsidRPr="00FF31CD">
        <w:rPr>
          <w:rFonts w:ascii="Calibri" w:hAnsi="Calibri" w:cs="Calibri"/>
          <w:sz w:val="22"/>
        </w:rPr>
        <w:t>.</w:t>
      </w:r>
      <w:r w:rsidR="004A06A3" w:rsidRPr="00FF31CD">
        <w:rPr>
          <w:rFonts w:ascii="Calibri" w:hAnsi="Calibri" w:cs="Calibri"/>
          <w:sz w:val="22"/>
        </w:rPr>
        <w:t xml:space="preserve"> </w:t>
      </w:r>
      <w:r w:rsidR="00437083" w:rsidRPr="00FF31CD">
        <w:rPr>
          <w:rFonts w:ascii="Calibri" w:hAnsi="Calibri" w:cs="Calibri"/>
          <w:sz w:val="22"/>
        </w:rPr>
        <w:t xml:space="preserve"> However, the court vacated the damages calculation and remanded the case for recalculation. </w:t>
      </w:r>
    </w:p>
    <w:p w14:paraId="43C8B917" w14:textId="77777777" w:rsidR="00CD40CB" w:rsidRPr="00FF31CD" w:rsidRDefault="00CD40CB" w:rsidP="00CD40CB">
      <w:pPr>
        <w:pStyle w:val="ListParagraph"/>
        <w:rPr>
          <w:rFonts w:ascii="Calibri" w:hAnsi="Calibri" w:cs="Calibri"/>
          <w:b/>
          <w:bCs/>
          <w:sz w:val="22"/>
        </w:rPr>
      </w:pPr>
    </w:p>
    <w:p w14:paraId="4C189AAC" w14:textId="257FEAA1" w:rsidR="00853B61" w:rsidRPr="00FF31CD" w:rsidRDefault="00853B61" w:rsidP="008F0555">
      <w:pPr>
        <w:pStyle w:val="ListParagraph"/>
        <w:numPr>
          <w:ilvl w:val="0"/>
          <w:numId w:val="1"/>
        </w:numPr>
        <w:rPr>
          <w:rFonts w:ascii="Calibri" w:hAnsi="Calibri" w:cs="Calibri"/>
          <w:b/>
          <w:bCs/>
          <w:sz w:val="22"/>
        </w:rPr>
      </w:pPr>
      <w:r w:rsidRPr="00FF31CD">
        <w:rPr>
          <w:rFonts w:ascii="Calibri" w:hAnsi="Calibri" w:cs="Calibri"/>
          <w:b/>
          <w:bCs/>
          <w:sz w:val="22"/>
        </w:rPr>
        <w:t xml:space="preserve">Arevalo v. Havana Harry’s II Inc. </w:t>
      </w:r>
      <w:r w:rsidRPr="00FF31CD">
        <w:rPr>
          <w:rFonts w:ascii="Calibri" w:hAnsi="Calibri" w:cs="Calibri"/>
          <w:sz w:val="22"/>
        </w:rPr>
        <w:t xml:space="preserve">No. 23-20555-CIV-DAMIAN, U.S. District Court, S.D. FL (01/12/2024). The plaintiffs filed a lawsuit against the defendants, alleging violations of the Fair Labor Standards Act (FLSA) related to unpaid overtime wages. The plaintiffs worked at the defendants' restaurant and claimed that the defendants manipulated time records and made improper payroll deductions, resulting in unpaid overtime wages. The defendants filed a motion for judgment on the pleadings, seeking dismissal of certain claims. The court granted the defendants' motion in part and denied it in part. Specifically, the court dismissed the plaintiffs' claims related to improper deductions for Federal Insurance Contributions Act (FICA) taxes, stating that there is no private right of action under FICA and that such claims are preempted by federal law. However, the court allowed the plaintiffs' claims regarding deductions for meals and parking expenses to proceed, as there were disputes regarding whether these deductions were permissible under the FLSA. Additionally, the court dismissed the plaintiffs' claims for conversion and civil theft under Florida law, ruling that they were preempted by the FLSA and lacked sufficient legal or factual support. The defendants were granted the right to recover their reasonable attorney's fees and costs incurred in defending against the civil theft claim. </w:t>
      </w:r>
      <w:r w:rsidR="004F28F3" w:rsidRPr="00FF31CD">
        <w:rPr>
          <w:rFonts w:ascii="Calibri" w:hAnsi="Calibri" w:cs="Calibri"/>
          <w:sz w:val="22"/>
        </w:rPr>
        <w:t>T</w:t>
      </w:r>
      <w:r w:rsidRPr="00FF31CD">
        <w:rPr>
          <w:rFonts w:ascii="Calibri" w:hAnsi="Calibri" w:cs="Calibri"/>
          <w:sz w:val="22"/>
        </w:rPr>
        <w:t>he court granted the defendants' motion to dismiss certain claims related to FICA deductions and state law claims for conversion and civil theft, while allowing the claims regarding deductions for meals and parking expenses to proceed.</w:t>
      </w:r>
    </w:p>
    <w:p w14:paraId="65BF8F99" w14:textId="77777777" w:rsidR="00853B61" w:rsidRPr="00FF31CD" w:rsidRDefault="00853B61" w:rsidP="00853B61">
      <w:pPr>
        <w:pStyle w:val="ListParagraph"/>
        <w:ind w:left="900" w:firstLine="0"/>
        <w:rPr>
          <w:rFonts w:ascii="Calibri" w:hAnsi="Calibri" w:cs="Calibri"/>
          <w:b/>
          <w:bCs/>
          <w:sz w:val="22"/>
        </w:rPr>
      </w:pPr>
    </w:p>
    <w:p w14:paraId="66F28535" w14:textId="55E98F14" w:rsidR="00853B61" w:rsidRPr="00FF31CD" w:rsidRDefault="00853B61" w:rsidP="008F0555">
      <w:pPr>
        <w:pStyle w:val="ListParagraph"/>
        <w:numPr>
          <w:ilvl w:val="0"/>
          <w:numId w:val="1"/>
        </w:numPr>
        <w:rPr>
          <w:rFonts w:ascii="Calibri" w:hAnsi="Calibri" w:cs="Calibri"/>
          <w:b/>
          <w:bCs/>
          <w:sz w:val="22"/>
        </w:rPr>
      </w:pPr>
      <w:r w:rsidRPr="00FF31CD">
        <w:rPr>
          <w:rFonts w:ascii="Calibri" w:hAnsi="Calibri" w:cs="Calibri"/>
          <w:b/>
          <w:bCs/>
          <w:sz w:val="22"/>
        </w:rPr>
        <w:t xml:space="preserve">Cazares v. Beety Market Inc., et al, </w:t>
      </w:r>
      <w:r w:rsidRPr="00FF31CD">
        <w:rPr>
          <w:rFonts w:ascii="Calibri" w:hAnsi="Calibri" w:cs="Calibri"/>
          <w:sz w:val="22"/>
        </w:rPr>
        <w:t xml:space="preserve">No. 23 -cv-320 (PRK)(PK) U.S. District Court, E.D.N.Y. (02/16/2024). Plaintiff was employed by defendant’s food market located in Queens, NY to prepare food, clean dishes and perform other cleaning necessary for the food market. Plaintiff was paid $10 per hour but never paid overtime wages.  Plaintiff repeatedly complained to his boss about the improper pay without any recourse.  Plaintiff also was not provided with wage statements detailing his rate of pay or the pay schedule. He was paid in cash every week and worked from noon until midnight, 7 days a week. Plaintiff served the complaint on the defendants, and the defendants did not respond or provide an answer. The court proceeded in the opinion to explain how the burden is on the plaintiff for the motion for a default judgement and concluded that plaintiff met the requirements and granted plaintiff’s motion. Compensation was paid to plaintiff for unpaid minimum wage, unpaid overtime pay, unpaid </w:t>
      </w:r>
      <w:r w:rsidRPr="00FF31CD">
        <w:rPr>
          <w:rFonts w:ascii="Calibri" w:hAnsi="Calibri" w:cs="Calibri"/>
          <w:sz w:val="22"/>
        </w:rPr>
        <w:lastRenderedPageBreak/>
        <w:t>spread of hours, failure to provide wage notices and statements, as well as liquidated damages, plus prejudgment interest.</w:t>
      </w:r>
      <w:r w:rsidRPr="00FF31CD">
        <w:rPr>
          <w:rFonts w:ascii="Calibri" w:hAnsi="Calibri" w:cs="Calibri"/>
          <w:b/>
          <w:bCs/>
          <w:sz w:val="22"/>
        </w:rPr>
        <w:t xml:space="preserve"> </w:t>
      </w:r>
    </w:p>
    <w:p w14:paraId="605E5E10" w14:textId="77777777" w:rsidR="00853B61" w:rsidRPr="00FF31CD" w:rsidRDefault="00853B61" w:rsidP="00853B61">
      <w:pPr>
        <w:pStyle w:val="ListParagraph"/>
        <w:ind w:left="990" w:firstLine="0"/>
        <w:rPr>
          <w:rFonts w:ascii="Calibri" w:hAnsi="Calibri" w:cs="Calibri"/>
          <w:b/>
          <w:bCs/>
          <w:sz w:val="22"/>
        </w:rPr>
      </w:pPr>
    </w:p>
    <w:p w14:paraId="00ED4276" w14:textId="14E777A4" w:rsidR="00853B61" w:rsidRPr="00FF31CD" w:rsidRDefault="00853B61" w:rsidP="008F0555">
      <w:pPr>
        <w:pStyle w:val="ListParagraph"/>
        <w:numPr>
          <w:ilvl w:val="0"/>
          <w:numId w:val="1"/>
        </w:numPr>
        <w:rPr>
          <w:rFonts w:ascii="Calibri" w:hAnsi="Calibri" w:cs="Calibri"/>
          <w:sz w:val="22"/>
        </w:rPr>
      </w:pPr>
      <w:r w:rsidRPr="00FF31CD">
        <w:rPr>
          <w:rFonts w:ascii="Calibri" w:hAnsi="Calibri" w:cs="Calibri"/>
          <w:b/>
          <w:bCs/>
          <w:sz w:val="22"/>
        </w:rPr>
        <w:t xml:space="preserve">Hoffman v. Bear Chase Brewing Company, LLC, </w:t>
      </w:r>
      <w:r w:rsidRPr="00FF31CD">
        <w:rPr>
          <w:rFonts w:ascii="Calibri" w:hAnsi="Calibri" w:cs="Calibri"/>
          <w:sz w:val="22"/>
        </w:rPr>
        <w:t xml:space="preserve">No. 1:21cv1443 (DJN/WEF) U.S. District Court, E.D. VA (03/19/2024). Plaintiff was employed by defendant’s outdoor venue that served food, beer and wine and he worked initially as a barback and then a bartender for three years.  Plaintiff alleged that defendant violated the FLSA by failing to give plaintiff sufficient notice of the tip credit required by law and for unlawfully including managers and supervisors in the tip pool. </w:t>
      </w:r>
      <w:r w:rsidR="00684A5C" w:rsidRPr="00FF31CD">
        <w:rPr>
          <w:rFonts w:ascii="Calibri" w:hAnsi="Calibri" w:cs="Calibri"/>
          <w:sz w:val="22"/>
        </w:rPr>
        <w:t xml:space="preserve">A </w:t>
      </w:r>
      <w:r w:rsidR="00A13B61" w:rsidRPr="00FF31CD">
        <w:rPr>
          <w:rFonts w:ascii="Calibri" w:hAnsi="Calibri" w:cs="Calibri"/>
          <w:sz w:val="22"/>
        </w:rPr>
        <w:t xml:space="preserve">trial ensured and a </w:t>
      </w:r>
      <w:r w:rsidRPr="00FF31CD">
        <w:rPr>
          <w:rFonts w:ascii="Calibri" w:hAnsi="Calibri" w:cs="Calibri"/>
          <w:sz w:val="22"/>
        </w:rPr>
        <w:t xml:space="preserve">jury returned a verdict in favor of the plaintiff.  Plaintiff sought liquidated damages for </w:t>
      </w:r>
      <w:r w:rsidR="00A13B61" w:rsidRPr="00FF31CD">
        <w:rPr>
          <w:rFonts w:ascii="Calibri" w:hAnsi="Calibri" w:cs="Calibri"/>
          <w:sz w:val="22"/>
        </w:rPr>
        <w:t xml:space="preserve">the </w:t>
      </w:r>
      <w:r w:rsidRPr="00FF31CD">
        <w:rPr>
          <w:rFonts w:ascii="Calibri" w:hAnsi="Calibri" w:cs="Calibri"/>
          <w:sz w:val="22"/>
        </w:rPr>
        <w:t>defendant’s failure to comply with the law. Defendant argues that liquidated damages are not warranted stating that</w:t>
      </w:r>
      <w:r w:rsidR="00A13B61" w:rsidRPr="00FF31CD">
        <w:rPr>
          <w:rFonts w:ascii="Calibri" w:hAnsi="Calibri" w:cs="Calibri"/>
          <w:sz w:val="22"/>
        </w:rPr>
        <w:t xml:space="preserve"> the</w:t>
      </w:r>
      <w:r w:rsidRPr="00FF31CD">
        <w:rPr>
          <w:rFonts w:ascii="Calibri" w:hAnsi="Calibri" w:cs="Calibri"/>
          <w:sz w:val="22"/>
        </w:rPr>
        <w:t xml:space="preserve"> defendants acted in good faith and that </w:t>
      </w:r>
      <w:r w:rsidR="00A13B61" w:rsidRPr="00FF31CD">
        <w:rPr>
          <w:rFonts w:ascii="Calibri" w:hAnsi="Calibri" w:cs="Calibri"/>
          <w:sz w:val="22"/>
        </w:rPr>
        <w:t xml:space="preserve">the </w:t>
      </w:r>
      <w:r w:rsidRPr="00FF31CD">
        <w:rPr>
          <w:rFonts w:ascii="Calibri" w:hAnsi="Calibri" w:cs="Calibri"/>
          <w:sz w:val="22"/>
        </w:rPr>
        <w:t>defendant had reasonable grounds for believing that the act or mission of</w:t>
      </w:r>
      <w:r w:rsidR="00A13B61" w:rsidRPr="00FF31CD">
        <w:rPr>
          <w:rFonts w:ascii="Calibri" w:hAnsi="Calibri" w:cs="Calibri"/>
          <w:sz w:val="22"/>
        </w:rPr>
        <w:t xml:space="preserve"> the</w:t>
      </w:r>
      <w:r w:rsidRPr="00FF31CD">
        <w:rPr>
          <w:rFonts w:ascii="Calibri" w:hAnsi="Calibri" w:cs="Calibri"/>
          <w:sz w:val="22"/>
        </w:rPr>
        <w:t xml:space="preserve"> defendant was not a violation of the FLSA. Defendant argued that he hired a GM who had a degree in hotel and restaurant management and thus relied on him to know what to do.  The court said it was unreasonable to rely exclusively on him to develop and implement a complex employee payment structure in compliance with the FLSA and most employers hire an expert to do this. The court held for </w:t>
      </w:r>
      <w:r w:rsidR="00A13B61" w:rsidRPr="00FF31CD">
        <w:rPr>
          <w:rFonts w:ascii="Calibri" w:hAnsi="Calibri" w:cs="Calibri"/>
          <w:sz w:val="22"/>
        </w:rPr>
        <w:t xml:space="preserve">the </w:t>
      </w:r>
      <w:r w:rsidRPr="00FF31CD">
        <w:rPr>
          <w:rFonts w:ascii="Calibri" w:hAnsi="Calibri" w:cs="Calibri"/>
          <w:sz w:val="22"/>
        </w:rPr>
        <w:t xml:space="preserve">plaintiff and awarded $34,245.61 in liquidated damages along with the $34,245.61 awarded to </w:t>
      </w:r>
      <w:r w:rsidR="00A13B61" w:rsidRPr="00FF31CD">
        <w:rPr>
          <w:rFonts w:ascii="Calibri" w:hAnsi="Calibri" w:cs="Calibri"/>
          <w:sz w:val="22"/>
        </w:rPr>
        <w:t xml:space="preserve">the </w:t>
      </w:r>
      <w:r w:rsidRPr="00FF31CD">
        <w:rPr>
          <w:rFonts w:ascii="Calibri" w:hAnsi="Calibri" w:cs="Calibri"/>
          <w:sz w:val="22"/>
        </w:rPr>
        <w:t>plaintiff by the jury for compensatory damages.</w:t>
      </w:r>
    </w:p>
    <w:p w14:paraId="3D70FCF5" w14:textId="77777777" w:rsidR="00853B61" w:rsidRPr="00FF31CD" w:rsidRDefault="00853B61" w:rsidP="00853B61">
      <w:pPr>
        <w:pStyle w:val="ListParagraph"/>
        <w:ind w:left="990" w:firstLine="0"/>
        <w:rPr>
          <w:rFonts w:ascii="Calibri" w:hAnsi="Calibri" w:cs="Calibri"/>
          <w:sz w:val="22"/>
        </w:rPr>
      </w:pPr>
    </w:p>
    <w:p w14:paraId="4A65FDDE" w14:textId="23C7CAA4" w:rsidR="00622F90" w:rsidRPr="00FF31CD" w:rsidRDefault="00DE0626" w:rsidP="008F0555">
      <w:pPr>
        <w:pStyle w:val="ListParagraph"/>
        <w:numPr>
          <w:ilvl w:val="0"/>
          <w:numId w:val="1"/>
        </w:numPr>
        <w:rPr>
          <w:rFonts w:ascii="Calibri" w:hAnsi="Calibri" w:cs="Calibri"/>
          <w:b/>
          <w:bCs/>
          <w:sz w:val="22"/>
        </w:rPr>
      </w:pPr>
      <w:r w:rsidRPr="00FF31CD">
        <w:rPr>
          <w:rFonts w:ascii="Calibri" w:hAnsi="Calibri" w:cs="Calibri"/>
          <w:b/>
          <w:bCs/>
          <w:sz w:val="22"/>
        </w:rPr>
        <w:t>Kaciak, et. al. v. Tab</w:t>
      </w:r>
      <w:r w:rsidR="00500E91" w:rsidRPr="00FF31CD">
        <w:rPr>
          <w:rFonts w:ascii="Calibri" w:hAnsi="Calibri" w:cs="Calibri"/>
          <w:b/>
          <w:bCs/>
          <w:sz w:val="22"/>
        </w:rPr>
        <w:t xml:space="preserve"> </w:t>
      </w:r>
      <w:r w:rsidRPr="00FF31CD">
        <w:rPr>
          <w:rFonts w:ascii="Calibri" w:hAnsi="Calibri" w:cs="Calibri"/>
          <w:b/>
          <w:bCs/>
          <w:sz w:val="22"/>
        </w:rPr>
        <w:t>Restaurant</w:t>
      </w:r>
      <w:r w:rsidR="00500E91" w:rsidRPr="00FF31CD">
        <w:rPr>
          <w:rFonts w:ascii="Calibri" w:hAnsi="Calibri" w:cs="Calibri"/>
          <w:b/>
          <w:bCs/>
          <w:sz w:val="22"/>
        </w:rPr>
        <w:t xml:space="preserve"> </w:t>
      </w:r>
      <w:r w:rsidRPr="00FF31CD">
        <w:rPr>
          <w:rFonts w:ascii="Calibri" w:hAnsi="Calibri" w:cs="Calibri"/>
          <w:b/>
          <w:bCs/>
          <w:sz w:val="22"/>
        </w:rPr>
        <w:t xml:space="preserve">Group, LLC, </w:t>
      </w:r>
      <w:r w:rsidRPr="00FF31CD">
        <w:rPr>
          <w:rFonts w:ascii="Calibri" w:hAnsi="Calibri" w:cs="Calibri"/>
          <w:sz w:val="22"/>
        </w:rPr>
        <w:t>No. 6:23-cv-1200 CEM-LHP, U.S. District Court., M.D.FL (01/24/</w:t>
      </w:r>
      <w:r w:rsidR="00633EA5" w:rsidRPr="00FF31CD">
        <w:rPr>
          <w:rFonts w:ascii="Calibri" w:hAnsi="Calibri" w:cs="Calibri"/>
          <w:sz w:val="22"/>
        </w:rPr>
        <w:t>2024</w:t>
      </w:r>
      <w:r w:rsidRPr="00FF31CD">
        <w:rPr>
          <w:rFonts w:ascii="Calibri" w:hAnsi="Calibri" w:cs="Calibri"/>
          <w:sz w:val="22"/>
        </w:rPr>
        <w:t xml:space="preserve">). </w:t>
      </w:r>
      <w:r w:rsidR="00622F90" w:rsidRPr="00FF31CD">
        <w:rPr>
          <w:rFonts w:ascii="Calibri" w:hAnsi="Calibri" w:cs="Calibri"/>
          <w:sz w:val="22"/>
        </w:rPr>
        <w:t>The case involves eleven plaintiffs who worked for the defendant alleging violations of the Fair Labor Standards Act (FLSA). They filed a complaint against the defendant, but the defendant did not respond, resulting in a default judgment entered against it. However, the court denied the plaintiffs' motion for final default judgment without prejudice due to several issues. Firstly, the plaintiffs failed to adequately allege FLSA coverage in their complaint, both regarding individual and enterprise coverage. The complaint lacked specific details demonstrating that either the plaintiffs or the defendant were engaged in interstate commerce or met the enterprise coverage criteria. Secondly, the plaintiffs' claim regarding illegal kickbacks lacked sufficient detail and legal support. Their complaint and motion lacked specific allegations and failed to cite relevant legal authority to support their claim under 29 C.F.R. § 531.35. Lastly, the plaintiffs did not provide a sufficient damages calculation in their motion for default judgment. While they attached a partial damages calculation, they admitted to having limited records and requested a hearing to determine the damages. However, the court suggested that damages could be established with mathematical certainty based on further evidence, such as affidavits, without the need for a hearing. As a result, the court denied the plaintiffs' motion for final default judgment without prejudice and gave them thirty days to file a renewed motion addressing the issues raised, including providing sufficient evidence for FLSA coverage, clarifying the claim regarding illegal kickbacks, and presenting a detailed damages calculation. Alternatively, the plaintiffs could file an amended complaint if necessary. Failure to comply could lead to the dismissal of the case for failure to prosecute</w:t>
      </w:r>
      <w:r w:rsidR="00066588" w:rsidRPr="00FF31CD">
        <w:rPr>
          <w:rFonts w:ascii="Calibri" w:hAnsi="Calibri" w:cs="Calibri"/>
          <w:sz w:val="22"/>
        </w:rPr>
        <w:t>.</w:t>
      </w:r>
    </w:p>
    <w:p w14:paraId="516D89DD" w14:textId="77777777" w:rsidR="00066588" w:rsidRPr="00FF31CD" w:rsidRDefault="00066588" w:rsidP="00066588">
      <w:pPr>
        <w:pStyle w:val="ListParagraph"/>
        <w:ind w:left="990" w:firstLine="0"/>
        <w:rPr>
          <w:rFonts w:ascii="Calibri" w:hAnsi="Calibri" w:cs="Calibri"/>
          <w:b/>
          <w:bCs/>
          <w:sz w:val="22"/>
        </w:rPr>
      </w:pPr>
    </w:p>
    <w:p w14:paraId="7AC39325" w14:textId="603A892C" w:rsidR="00066588" w:rsidRPr="00FF31CD" w:rsidRDefault="00066588" w:rsidP="008F0555">
      <w:pPr>
        <w:pStyle w:val="ListParagraph"/>
        <w:numPr>
          <w:ilvl w:val="0"/>
          <w:numId w:val="1"/>
        </w:numPr>
        <w:rPr>
          <w:rFonts w:ascii="Calibri" w:hAnsi="Calibri" w:cs="Calibri"/>
          <w:b/>
          <w:bCs/>
          <w:sz w:val="22"/>
        </w:rPr>
      </w:pPr>
      <w:r w:rsidRPr="00FF31CD">
        <w:rPr>
          <w:rFonts w:ascii="Calibri" w:hAnsi="Calibri" w:cs="Calibri"/>
          <w:b/>
          <w:bCs/>
          <w:sz w:val="22"/>
        </w:rPr>
        <w:t xml:space="preserve">Lunemann, et al., v. Kooma III LLC, </w:t>
      </w:r>
      <w:r w:rsidRPr="00FF31CD">
        <w:rPr>
          <w:rFonts w:ascii="Calibri" w:hAnsi="Calibri" w:cs="Calibri"/>
          <w:sz w:val="22"/>
        </w:rPr>
        <w:t>No. 23-3704-SKM U.S. District Court E.D. PA (05/13/2024).</w:t>
      </w:r>
      <w:r w:rsidR="00157D55" w:rsidRPr="00FF31CD">
        <w:rPr>
          <w:rFonts w:ascii="Calibri" w:hAnsi="Calibri" w:cs="Calibri"/>
          <w:sz w:val="22"/>
        </w:rPr>
        <w:t xml:space="preserve"> Plaintiffs were servers </w:t>
      </w:r>
      <w:r w:rsidR="00E9482B" w:rsidRPr="00FF31CD">
        <w:rPr>
          <w:rFonts w:ascii="Calibri" w:hAnsi="Calibri" w:cs="Calibri"/>
          <w:sz w:val="22"/>
        </w:rPr>
        <w:t xml:space="preserve">in the defendant’s </w:t>
      </w:r>
      <w:r w:rsidR="004D2762" w:rsidRPr="00FF31CD">
        <w:rPr>
          <w:rFonts w:ascii="Calibri" w:hAnsi="Calibri" w:cs="Calibri"/>
          <w:sz w:val="22"/>
        </w:rPr>
        <w:t xml:space="preserve">sushi </w:t>
      </w:r>
      <w:r w:rsidR="00E9482B" w:rsidRPr="00FF31CD">
        <w:rPr>
          <w:rFonts w:ascii="Calibri" w:hAnsi="Calibri" w:cs="Calibri"/>
          <w:sz w:val="22"/>
        </w:rPr>
        <w:t xml:space="preserve">restaurant located in Pennsylvania. </w:t>
      </w:r>
      <w:r w:rsidR="0005312C" w:rsidRPr="00FF31CD">
        <w:rPr>
          <w:rFonts w:ascii="Calibri" w:hAnsi="Calibri" w:cs="Calibri"/>
          <w:sz w:val="22"/>
        </w:rPr>
        <w:t>The defendant</w:t>
      </w:r>
      <w:r w:rsidR="00E9482B" w:rsidRPr="00FF31CD">
        <w:rPr>
          <w:rFonts w:ascii="Calibri" w:hAnsi="Calibri" w:cs="Calibri"/>
          <w:sz w:val="22"/>
        </w:rPr>
        <w:t xml:space="preserve"> </w:t>
      </w:r>
      <w:r w:rsidR="004D2762" w:rsidRPr="00FF31CD">
        <w:rPr>
          <w:rFonts w:ascii="Calibri" w:hAnsi="Calibri" w:cs="Calibri"/>
          <w:sz w:val="22"/>
        </w:rPr>
        <w:t>was sued by a server who claimed that the defendant violated the minimum wage laws by sharing server tips with the sushi chefs.</w:t>
      </w:r>
      <w:r w:rsidR="00E9482B" w:rsidRPr="00FF31CD">
        <w:rPr>
          <w:rFonts w:ascii="Calibri" w:hAnsi="Calibri" w:cs="Calibri"/>
          <w:sz w:val="22"/>
        </w:rPr>
        <w:t xml:space="preserve"> </w:t>
      </w:r>
      <w:r w:rsidR="00725728" w:rsidRPr="00FF31CD">
        <w:rPr>
          <w:rFonts w:ascii="Calibri" w:hAnsi="Calibri" w:cs="Calibri"/>
          <w:sz w:val="22"/>
        </w:rPr>
        <w:t>The case was also a class action suit. The court agreed to allow a settlement for the class action part of the lawsuit. Some of the key points of the settlement included</w:t>
      </w:r>
      <w:r w:rsidR="00001341" w:rsidRPr="00FF31CD">
        <w:rPr>
          <w:rFonts w:ascii="Calibri" w:hAnsi="Calibri" w:cs="Calibri"/>
          <w:sz w:val="22"/>
        </w:rPr>
        <w:t xml:space="preserve"> servers who worked at defendant’s restaurant from </w:t>
      </w:r>
      <w:r w:rsidR="002F0EFF" w:rsidRPr="00FF31CD">
        <w:rPr>
          <w:rFonts w:ascii="Calibri" w:hAnsi="Calibri" w:cs="Calibri"/>
          <w:sz w:val="22"/>
        </w:rPr>
        <w:t>September</w:t>
      </w:r>
      <w:r w:rsidR="00001341" w:rsidRPr="00FF31CD">
        <w:rPr>
          <w:rFonts w:ascii="Calibri" w:hAnsi="Calibri" w:cs="Calibri"/>
          <w:sz w:val="22"/>
        </w:rPr>
        <w:t xml:space="preserve"> </w:t>
      </w:r>
      <w:r w:rsidR="00001341" w:rsidRPr="00FF31CD">
        <w:rPr>
          <w:rFonts w:ascii="Calibri" w:hAnsi="Calibri" w:cs="Calibri"/>
          <w:sz w:val="22"/>
        </w:rPr>
        <w:lastRenderedPageBreak/>
        <w:t xml:space="preserve">22, 2020 until December 10, 2023 which included 44 servers. The defendant will pay a </w:t>
      </w:r>
      <w:r w:rsidR="002F0EFF" w:rsidRPr="00FF31CD">
        <w:rPr>
          <w:rFonts w:ascii="Calibri" w:hAnsi="Calibri" w:cs="Calibri"/>
          <w:sz w:val="22"/>
        </w:rPr>
        <w:t>maximum</w:t>
      </w:r>
      <w:r w:rsidR="00001341" w:rsidRPr="00FF31CD">
        <w:rPr>
          <w:rFonts w:ascii="Calibri" w:hAnsi="Calibri" w:cs="Calibri"/>
          <w:sz w:val="22"/>
        </w:rPr>
        <w:t xml:space="preserve"> of $112,500 to settle this dispute, plus taxes. </w:t>
      </w:r>
      <w:r w:rsidR="002F0EFF" w:rsidRPr="00FF31CD">
        <w:rPr>
          <w:rFonts w:ascii="Calibri" w:hAnsi="Calibri" w:cs="Calibri"/>
          <w:sz w:val="22"/>
        </w:rPr>
        <w:t xml:space="preserve">From that amount, $33,740 will go toward attorney fees and $3000 will go to the server who brought the suit. All remaining amounts will be distributed to the remaining servers. The court </w:t>
      </w:r>
      <w:r w:rsidR="0005312C" w:rsidRPr="00FF31CD">
        <w:rPr>
          <w:rFonts w:ascii="Calibri" w:hAnsi="Calibri" w:cs="Calibri"/>
          <w:sz w:val="22"/>
        </w:rPr>
        <w:t>will decide on whether to approve the full settlement.</w:t>
      </w:r>
    </w:p>
    <w:p w14:paraId="5E114F12" w14:textId="77777777" w:rsidR="00713F38" w:rsidRPr="00FF31CD" w:rsidRDefault="00713F38" w:rsidP="00713F38">
      <w:pPr>
        <w:pStyle w:val="ListParagraph"/>
        <w:rPr>
          <w:rFonts w:ascii="Calibri" w:hAnsi="Calibri" w:cs="Calibri"/>
          <w:b/>
          <w:bCs/>
          <w:sz w:val="22"/>
        </w:rPr>
      </w:pPr>
    </w:p>
    <w:p w14:paraId="2FB8C2AE" w14:textId="064C6AE2" w:rsidR="00713F38" w:rsidRPr="00FF31CD" w:rsidRDefault="00E46664" w:rsidP="008F0555">
      <w:pPr>
        <w:pStyle w:val="ListParagraph"/>
        <w:numPr>
          <w:ilvl w:val="0"/>
          <w:numId w:val="1"/>
        </w:numPr>
        <w:rPr>
          <w:rFonts w:ascii="Calibri" w:hAnsi="Calibri" w:cs="Calibri"/>
          <w:sz w:val="22"/>
        </w:rPr>
      </w:pPr>
      <w:r w:rsidRPr="00FF31CD">
        <w:rPr>
          <w:rFonts w:ascii="Calibri" w:hAnsi="Calibri" w:cs="Calibri"/>
          <w:b/>
          <w:bCs/>
          <w:sz w:val="22"/>
        </w:rPr>
        <w:t xml:space="preserve">Cojom v. Vicolo Pizza Restaurant, </w:t>
      </w:r>
      <w:r w:rsidRPr="00FF31CD">
        <w:rPr>
          <w:rFonts w:ascii="Calibri" w:hAnsi="Calibri" w:cs="Calibri"/>
          <w:sz w:val="22"/>
        </w:rPr>
        <w:t>2025 WL 1067129 (D. Conn., 4/9/2025).  Plaintiff, a Hispanic man, worked for defendant restaurant for two and a half years as a dishwasher, food preparer, bus boy and cleaner.  He was required to work seven days a week for approximately 90 hours a week.  He was paid $500 each week, which is an hourly wage of $5.49. The federal minimum wage throughout his employment with defendant was $7.15. Plaintiff was never paid overtime wages.  Further, defendant frequently threw kitchen objects at plaintiff and threatened to report him to immigration authorities.  Plaintiff sued for violations of the FLSA.  The court awarded back wages, overtime pay, liquidated damages of double the amount, and attorney’s fees of $350/hour for 36 hours.  The court declined to award prejudgment interest based on well settled law that prejudgment interest cannot be awarded when liquidated damages are granted.</w:t>
      </w:r>
    </w:p>
    <w:p w14:paraId="6EEAF070" w14:textId="77777777" w:rsidR="00E46664" w:rsidRPr="00FF31CD" w:rsidRDefault="00E46664" w:rsidP="00E46664">
      <w:pPr>
        <w:pStyle w:val="ListParagraph"/>
        <w:rPr>
          <w:rFonts w:ascii="Calibri" w:hAnsi="Calibri" w:cs="Calibri"/>
          <w:sz w:val="22"/>
        </w:rPr>
      </w:pPr>
    </w:p>
    <w:p w14:paraId="01E5FB6B" w14:textId="42C034CA" w:rsidR="00E46664" w:rsidRPr="00FF31CD" w:rsidRDefault="00856541" w:rsidP="008F0555">
      <w:pPr>
        <w:pStyle w:val="ListParagraph"/>
        <w:numPr>
          <w:ilvl w:val="0"/>
          <w:numId w:val="1"/>
        </w:numPr>
        <w:rPr>
          <w:rFonts w:ascii="Calibri" w:hAnsi="Calibri" w:cs="Calibri"/>
          <w:sz w:val="22"/>
        </w:rPr>
      </w:pPr>
      <w:r w:rsidRPr="00FF31CD">
        <w:rPr>
          <w:rFonts w:ascii="Calibri" w:hAnsi="Calibri" w:cs="Calibri"/>
          <w:b/>
          <w:bCs/>
          <w:sz w:val="22"/>
        </w:rPr>
        <w:t>Rodrique</w:t>
      </w:r>
      <w:r w:rsidR="0008510A" w:rsidRPr="00FF31CD">
        <w:rPr>
          <w:rFonts w:ascii="Calibri" w:hAnsi="Calibri" w:cs="Calibri"/>
          <w:b/>
          <w:bCs/>
          <w:sz w:val="22"/>
        </w:rPr>
        <w:t>z</w:t>
      </w:r>
      <w:r w:rsidRPr="00FF31CD">
        <w:rPr>
          <w:rFonts w:ascii="Calibri" w:hAnsi="Calibri" w:cs="Calibri"/>
          <w:b/>
          <w:bCs/>
          <w:sz w:val="22"/>
        </w:rPr>
        <w:t xml:space="preserve"> v. Lunita’s Café and Deli Corp.,</w:t>
      </w:r>
      <w:r w:rsidRPr="00FF31CD">
        <w:rPr>
          <w:rFonts w:ascii="Calibri" w:hAnsi="Calibri" w:cs="Calibri"/>
          <w:sz w:val="22"/>
        </w:rPr>
        <w:t xml:space="preserve"> 2025 WL 1002012 (S.D.NY, 3/31/2025).  Plaintiff was employed by defendant restaurant as a food preparer, cook, and cleaner.  Plaintiff claimed she worked long hours seven days a week and was paid a flat weekly sum of $750, plus an extra $100 if </w:t>
      </w:r>
      <w:r w:rsidR="007356A8" w:rsidRPr="00FF31CD">
        <w:rPr>
          <w:rFonts w:ascii="Calibri" w:hAnsi="Calibri" w:cs="Calibri"/>
          <w:sz w:val="22"/>
        </w:rPr>
        <w:t>s</w:t>
      </w:r>
      <w:r w:rsidRPr="00FF31CD">
        <w:rPr>
          <w:rFonts w:ascii="Calibri" w:hAnsi="Calibri" w:cs="Calibri"/>
          <w:sz w:val="22"/>
        </w:rPr>
        <w:t>he worked an extra shift.  These  sums fall below minimum wage and required overtime pay. She sued claiming violations of the FLSA. Defendant denied that it was subject to the Act because its annual gross business volume was less than $500,000.  As proof, defendant submitted its tax returns for the years in question and moved for summary judgment.  The court noted that other courts have denied summary judgment where evidence undermines the credibility of the defendant’s tax returns.  Here, plaintiff and a cook testified to the number of meals they prepared and served, and the average price per meals.  Based on that information, the court found a material issue of fact exists on whether the FLSA gross sales threshold was met.  Therefore, defendant’s motion for summary judgment was denied.</w:t>
      </w:r>
    </w:p>
    <w:p w14:paraId="30A98414" w14:textId="77777777" w:rsidR="00554A1D" w:rsidRPr="00FF31CD" w:rsidRDefault="00554A1D" w:rsidP="00554A1D">
      <w:pPr>
        <w:pStyle w:val="ListParagraph"/>
        <w:rPr>
          <w:rFonts w:ascii="Calibri" w:hAnsi="Calibri" w:cs="Calibri"/>
          <w:sz w:val="22"/>
        </w:rPr>
      </w:pPr>
    </w:p>
    <w:p w14:paraId="707B2628" w14:textId="344A5E07" w:rsidR="00C95E92" w:rsidRPr="00FF31CD" w:rsidRDefault="00C95E92" w:rsidP="00C95E92">
      <w:pPr>
        <w:pStyle w:val="ListParagraph"/>
        <w:numPr>
          <w:ilvl w:val="0"/>
          <w:numId w:val="1"/>
        </w:numPr>
        <w:rPr>
          <w:rFonts w:ascii="Calibri" w:hAnsi="Calibri" w:cs="Calibri"/>
          <w:sz w:val="22"/>
        </w:rPr>
      </w:pPr>
      <w:r w:rsidRPr="00FF31CD">
        <w:rPr>
          <w:rFonts w:ascii="Calibri" w:hAnsi="Calibri" w:cs="Calibri"/>
          <w:b/>
          <w:bCs/>
          <w:sz w:val="22"/>
        </w:rPr>
        <w:t>Gayhart v. Northhampton Restaurants,</w:t>
      </w:r>
      <w:r w:rsidRPr="00FF31CD">
        <w:rPr>
          <w:rFonts w:ascii="Calibri" w:hAnsi="Calibri" w:cs="Calibri"/>
          <w:sz w:val="22"/>
        </w:rPr>
        <w:t xml:space="preserve">  2025 WL 854904 (E.D. VA, 2025).  Plaintiff was a server at defendant’s restaurant.  She was paid $2.13/hour and the restaurant relied on her tips to satisfy the minimum wage requirements.  She was required to contribute a percentage of her tips to the restaurant for a tip pool and to pay a portion of her tips to the cooks and bartenders.  The restaurant failed to distribute tips through the tip pool system and kept a “significant portion” of plaintiff’s tips. She sued for $20,000 for unpaid wages per FLSA plus liquidated damages, litigation costs and attorney’s fees.  The parties reached a settlement of $10,400 for unpaid wages and $7,600 for attorney fees at the rate of $475/hour. Per a cited Virginia District Court case, all FLSA settlements must be approved either by the Department of Labor or the district court.  The court assessed the settlement against accepted principles, and included significant detail concerning attorney’s fees, and approved the settlement</w:t>
      </w:r>
    </w:p>
    <w:p w14:paraId="27B2591D" w14:textId="77777777" w:rsidR="00C95E92" w:rsidRPr="00FF31CD" w:rsidRDefault="00C95E92" w:rsidP="00C95E92">
      <w:pPr>
        <w:pStyle w:val="ListParagraph"/>
        <w:rPr>
          <w:rFonts w:ascii="Calibri" w:hAnsi="Calibri" w:cs="Calibri"/>
          <w:sz w:val="22"/>
        </w:rPr>
      </w:pPr>
    </w:p>
    <w:p w14:paraId="24822A9D" w14:textId="3F73C70A" w:rsidR="00554A1D" w:rsidRPr="00FF31CD" w:rsidRDefault="00C95E92" w:rsidP="00C95E92">
      <w:pPr>
        <w:pStyle w:val="ListParagraph"/>
        <w:numPr>
          <w:ilvl w:val="0"/>
          <w:numId w:val="1"/>
        </w:numPr>
        <w:rPr>
          <w:rFonts w:ascii="Calibri" w:hAnsi="Calibri" w:cs="Calibri"/>
          <w:sz w:val="22"/>
        </w:rPr>
      </w:pPr>
      <w:r w:rsidRPr="00FF31CD">
        <w:rPr>
          <w:rFonts w:ascii="Calibri" w:hAnsi="Calibri" w:cs="Calibri"/>
          <w:b/>
          <w:bCs/>
          <w:sz w:val="22"/>
        </w:rPr>
        <w:t>Bonacor v. Restaurant Services, LLC,</w:t>
      </w:r>
      <w:r w:rsidRPr="00FF31CD">
        <w:rPr>
          <w:rFonts w:ascii="Calibri" w:hAnsi="Calibri" w:cs="Calibri"/>
          <w:sz w:val="22"/>
        </w:rPr>
        <w:t xml:space="preserve"> 2025 WL 977045 (S.D. FL, 2025).  Plaintiff worked for defendant restaurant.  He sued for violations of the Fair Labor Standard Act.  The parties reached a settlement agreement and sought court approval.  The court identified the factors it should consider when deciding whether to approve a settlement. The court noted the agreement contained a mutual general release.  Some courts refuse to approve FLSA </w:t>
      </w:r>
      <w:r w:rsidRPr="00FF31CD">
        <w:rPr>
          <w:rFonts w:ascii="Calibri" w:hAnsi="Calibri" w:cs="Calibri"/>
          <w:sz w:val="22"/>
        </w:rPr>
        <w:lastRenderedPageBreak/>
        <w:t>settlement agreements that contain such a release.  Here however the court did not withhold approval noting that plaintiff received additional consideration for the release, plaintiff was represented by counsel who had experience in FLSA matters, and the court determined the release was fair and reasonable.  The agreement also contains a mutual confidentiality clause requiring the parties to keep the financial terms of the agreement confidential.  Courts often decline to approve agreement with such clauses  However, here the court was satisfied noting that the Settlement Agreement is filed in the record and publicly available. The court also found that the lawyers’ billing rate of $400.  The court thus concluded the agreement is fair and reasonable in its entirety, and granted the motion to approve.</w:t>
      </w:r>
    </w:p>
    <w:p w14:paraId="21669C46" w14:textId="77777777" w:rsidR="0005312C" w:rsidRPr="00FF31CD" w:rsidRDefault="0005312C" w:rsidP="0005312C">
      <w:pPr>
        <w:pStyle w:val="ListParagraph"/>
        <w:ind w:left="990" w:firstLine="0"/>
        <w:rPr>
          <w:rFonts w:ascii="Calibri" w:hAnsi="Calibri" w:cs="Calibri"/>
          <w:b/>
          <w:bCs/>
          <w:sz w:val="22"/>
        </w:rPr>
      </w:pPr>
    </w:p>
    <w:p w14:paraId="5990C172" w14:textId="0D8F9BEF" w:rsidR="001F253C" w:rsidRPr="00FF31CD" w:rsidRDefault="00904F22">
      <w:pPr>
        <w:rPr>
          <w:rFonts w:ascii="Calibri" w:hAnsi="Calibri" w:cs="Calibri"/>
          <w:b/>
          <w:bCs/>
          <w:sz w:val="24"/>
          <w:szCs w:val="24"/>
        </w:rPr>
      </w:pPr>
      <w:r w:rsidRPr="00FF31CD">
        <w:rPr>
          <w:rFonts w:ascii="Calibri" w:hAnsi="Calibri" w:cs="Calibri"/>
          <w:b/>
          <w:bCs/>
          <w:sz w:val="24"/>
          <w:szCs w:val="24"/>
        </w:rPr>
        <w:t>Employment – Hostile Work Environment</w:t>
      </w:r>
    </w:p>
    <w:p w14:paraId="07A32080" w14:textId="4452280B" w:rsidR="00904F22" w:rsidRPr="00FF31CD" w:rsidRDefault="00CC28CE" w:rsidP="008F0555">
      <w:pPr>
        <w:pStyle w:val="ListParagraph"/>
        <w:numPr>
          <w:ilvl w:val="0"/>
          <w:numId w:val="1"/>
        </w:numPr>
        <w:rPr>
          <w:rFonts w:ascii="Calibri" w:hAnsi="Calibri" w:cs="Calibri"/>
          <w:sz w:val="22"/>
        </w:rPr>
      </w:pPr>
      <w:r w:rsidRPr="00FF31CD">
        <w:rPr>
          <w:rFonts w:ascii="Calibri" w:hAnsi="Calibri" w:cs="Calibri"/>
          <w:b/>
          <w:bCs/>
          <w:sz w:val="22"/>
        </w:rPr>
        <w:t xml:space="preserve">Doyle v. American Glory Restaurant Corp, et al., </w:t>
      </w:r>
      <w:r w:rsidRPr="00FF31CD">
        <w:rPr>
          <w:rFonts w:ascii="Calibri" w:hAnsi="Calibri" w:cs="Calibri"/>
          <w:sz w:val="22"/>
        </w:rPr>
        <w:t>No. 23 Civ. 7624 (PAE)</w:t>
      </w:r>
      <w:r w:rsidR="004D5975" w:rsidRPr="00FF31CD">
        <w:rPr>
          <w:rFonts w:ascii="Calibri" w:hAnsi="Calibri" w:cs="Calibri"/>
          <w:sz w:val="22"/>
        </w:rPr>
        <w:t xml:space="preserve"> </w:t>
      </w:r>
      <w:r w:rsidRPr="00FF31CD">
        <w:rPr>
          <w:rFonts w:ascii="Calibri" w:hAnsi="Calibri" w:cs="Calibri"/>
          <w:sz w:val="22"/>
        </w:rPr>
        <w:t>U.S. District Co</w:t>
      </w:r>
      <w:r w:rsidR="004D5975" w:rsidRPr="00FF31CD">
        <w:rPr>
          <w:rFonts w:ascii="Calibri" w:hAnsi="Calibri" w:cs="Calibri"/>
          <w:sz w:val="22"/>
        </w:rPr>
        <w:t>ur</w:t>
      </w:r>
      <w:r w:rsidRPr="00FF31CD">
        <w:rPr>
          <w:rFonts w:ascii="Calibri" w:hAnsi="Calibri" w:cs="Calibri"/>
          <w:sz w:val="22"/>
        </w:rPr>
        <w:t>t, S.D. N. Y (04/04/</w:t>
      </w:r>
      <w:r w:rsidR="00633EA5" w:rsidRPr="00FF31CD">
        <w:rPr>
          <w:rFonts w:ascii="Calibri" w:hAnsi="Calibri" w:cs="Calibri"/>
          <w:sz w:val="22"/>
        </w:rPr>
        <w:t>2024</w:t>
      </w:r>
      <w:r w:rsidRPr="00FF31CD">
        <w:rPr>
          <w:rFonts w:ascii="Calibri" w:hAnsi="Calibri" w:cs="Calibri"/>
          <w:sz w:val="22"/>
        </w:rPr>
        <w:t xml:space="preserve">). </w:t>
      </w:r>
      <w:r w:rsidR="00550A83" w:rsidRPr="00FF31CD">
        <w:rPr>
          <w:rFonts w:ascii="Calibri" w:hAnsi="Calibri" w:cs="Calibri"/>
          <w:sz w:val="22"/>
        </w:rPr>
        <w:t xml:space="preserve"> Plaintiff worked at the American Glory restaurant in Hudson, NY</w:t>
      </w:r>
      <w:r w:rsidR="0052556B" w:rsidRPr="00FF31CD">
        <w:rPr>
          <w:rFonts w:ascii="Calibri" w:hAnsi="Calibri" w:cs="Calibri"/>
          <w:sz w:val="22"/>
        </w:rPr>
        <w:t xml:space="preserve"> as a part-time bartender. In time, </w:t>
      </w:r>
      <w:r w:rsidR="00F056FE" w:rsidRPr="00FF31CD">
        <w:rPr>
          <w:rFonts w:ascii="Calibri" w:hAnsi="Calibri" w:cs="Calibri"/>
          <w:sz w:val="22"/>
        </w:rPr>
        <w:t>the plaintiff</w:t>
      </w:r>
      <w:r w:rsidR="0052556B" w:rsidRPr="00FF31CD">
        <w:rPr>
          <w:rFonts w:ascii="Calibri" w:hAnsi="Calibri" w:cs="Calibri"/>
          <w:sz w:val="22"/>
        </w:rPr>
        <w:t xml:space="preserve"> became the assistant general manager.  She contends she was constructively discharged</w:t>
      </w:r>
      <w:r w:rsidR="00F056FE" w:rsidRPr="00FF31CD">
        <w:rPr>
          <w:rFonts w:ascii="Calibri" w:hAnsi="Calibri" w:cs="Calibri"/>
          <w:sz w:val="22"/>
        </w:rPr>
        <w:t xml:space="preserve"> as she was subject to both discrimination and retaliation throughout her employment. </w:t>
      </w:r>
      <w:r w:rsidR="00F21DE4" w:rsidRPr="00FF31CD">
        <w:rPr>
          <w:rFonts w:ascii="Calibri" w:hAnsi="Calibri" w:cs="Calibri"/>
          <w:sz w:val="22"/>
        </w:rPr>
        <w:t>The owner of the restaurant was</w:t>
      </w:r>
      <w:r w:rsidR="004D5975" w:rsidRPr="00FF31CD">
        <w:rPr>
          <w:rFonts w:ascii="Calibri" w:hAnsi="Calibri" w:cs="Calibri"/>
          <w:sz w:val="22"/>
        </w:rPr>
        <w:t xml:space="preserve"> the</w:t>
      </w:r>
      <w:r w:rsidR="00F21DE4" w:rsidRPr="00FF31CD">
        <w:rPr>
          <w:rFonts w:ascii="Calibri" w:hAnsi="Calibri" w:cs="Calibri"/>
          <w:sz w:val="22"/>
        </w:rPr>
        <w:t xml:space="preserve"> plaintiff’s </w:t>
      </w:r>
      <w:r w:rsidR="00815447" w:rsidRPr="00FF31CD">
        <w:rPr>
          <w:rFonts w:ascii="Calibri" w:hAnsi="Calibri" w:cs="Calibri"/>
          <w:sz w:val="22"/>
        </w:rPr>
        <w:t>supervisor,</w:t>
      </w:r>
      <w:r w:rsidR="00F21DE4" w:rsidRPr="00FF31CD">
        <w:rPr>
          <w:rFonts w:ascii="Calibri" w:hAnsi="Calibri" w:cs="Calibri"/>
          <w:sz w:val="22"/>
        </w:rPr>
        <w:t xml:space="preserve"> and </w:t>
      </w:r>
      <w:r w:rsidR="004D5975" w:rsidRPr="00FF31CD">
        <w:rPr>
          <w:rFonts w:ascii="Calibri" w:hAnsi="Calibri" w:cs="Calibri"/>
          <w:sz w:val="22"/>
        </w:rPr>
        <w:t xml:space="preserve">the </w:t>
      </w:r>
      <w:r w:rsidR="00F21DE4" w:rsidRPr="00FF31CD">
        <w:rPr>
          <w:rFonts w:ascii="Calibri" w:hAnsi="Calibri" w:cs="Calibri"/>
          <w:sz w:val="22"/>
        </w:rPr>
        <w:t xml:space="preserve">plaintiff alleged he made </w:t>
      </w:r>
      <w:r w:rsidR="00CC45A4" w:rsidRPr="00FF31CD">
        <w:rPr>
          <w:rFonts w:ascii="Calibri" w:hAnsi="Calibri" w:cs="Calibri"/>
          <w:sz w:val="22"/>
        </w:rPr>
        <w:t>offensive</w:t>
      </w:r>
      <w:r w:rsidR="00F21DE4" w:rsidRPr="00FF31CD">
        <w:rPr>
          <w:rFonts w:ascii="Calibri" w:hAnsi="Calibri" w:cs="Calibri"/>
          <w:sz w:val="22"/>
        </w:rPr>
        <w:t xml:space="preserve"> remarks about </w:t>
      </w:r>
      <w:r w:rsidR="00815447" w:rsidRPr="00FF31CD">
        <w:rPr>
          <w:rFonts w:ascii="Calibri" w:hAnsi="Calibri" w:cs="Calibri"/>
          <w:sz w:val="22"/>
        </w:rPr>
        <w:t xml:space="preserve">the </w:t>
      </w:r>
      <w:r w:rsidR="00F21DE4" w:rsidRPr="00FF31CD">
        <w:rPr>
          <w:rFonts w:ascii="Calibri" w:hAnsi="Calibri" w:cs="Calibri"/>
          <w:sz w:val="22"/>
        </w:rPr>
        <w:t xml:space="preserve">plaintiff’s body constantly.  Identifying the </w:t>
      </w:r>
      <w:r w:rsidR="00CC45A4" w:rsidRPr="00FF31CD">
        <w:rPr>
          <w:rFonts w:ascii="Calibri" w:hAnsi="Calibri" w:cs="Calibri"/>
          <w:sz w:val="22"/>
        </w:rPr>
        <w:t>shape</w:t>
      </w:r>
      <w:r w:rsidR="00F21DE4" w:rsidRPr="00FF31CD">
        <w:rPr>
          <w:rFonts w:ascii="Calibri" w:hAnsi="Calibri" w:cs="Calibri"/>
          <w:sz w:val="22"/>
        </w:rPr>
        <w:t xml:space="preserve"> and size of her bre</w:t>
      </w:r>
      <w:r w:rsidR="00CC45A4" w:rsidRPr="00FF31CD">
        <w:rPr>
          <w:rFonts w:ascii="Calibri" w:hAnsi="Calibri" w:cs="Calibri"/>
          <w:sz w:val="22"/>
        </w:rPr>
        <w:t>asts.</w:t>
      </w:r>
      <w:r w:rsidR="006508E5" w:rsidRPr="00FF31CD">
        <w:rPr>
          <w:rFonts w:ascii="Calibri" w:hAnsi="Calibri" w:cs="Calibri"/>
          <w:sz w:val="22"/>
        </w:rPr>
        <w:t xml:space="preserve"> </w:t>
      </w:r>
      <w:r w:rsidR="00CC45A4" w:rsidRPr="00FF31CD">
        <w:rPr>
          <w:rFonts w:ascii="Calibri" w:hAnsi="Calibri" w:cs="Calibri"/>
          <w:sz w:val="22"/>
        </w:rPr>
        <w:t>On at least 5 occasions,</w:t>
      </w:r>
      <w:r w:rsidR="00815447" w:rsidRPr="00FF31CD">
        <w:rPr>
          <w:rFonts w:ascii="Calibri" w:hAnsi="Calibri" w:cs="Calibri"/>
          <w:sz w:val="22"/>
        </w:rPr>
        <w:t xml:space="preserve"> the</w:t>
      </w:r>
      <w:r w:rsidR="00CC45A4" w:rsidRPr="00FF31CD">
        <w:rPr>
          <w:rFonts w:ascii="Calibri" w:hAnsi="Calibri" w:cs="Calibri"/>
          <w:sz w:val="22"/>
        </w:rPr>
        <w:t xml:space="preserve"> </w:t>
      </w:r>
      <w:r w:rsidR="006508E5" w:rsidRPr="00FF31CD">
        <w:rPr>
          <w:rFonts w:ascii="Calibri" w:hAnsi="Calibri" w:cs="Calibri"/>
          <w:sz w:val="22"/>
        </w:rPr>
        <w:t xml:space="preserve">defendant told </w:t>
      </w:r>
      <w:r w:rsidR="00815447" w:rsidRPr="00FF31CD">
        <w:rPr>
          <w:rFonts w:ascii="Calibri" w:hAnsi="Calibri" w:cs="Calibri"/>
          <w:sz w:val="22"/>
        </w:rPr>
        <w:t xml:space="preserve">the </w:t>
      </w:r>
      <w:r w:rsidR="006508E5" w:rsidRPr="00FF31CD">
        <w:rPr>
          <w:rFonts w:ascii="Calibri" w:hAnsi="Calibri" w:cs="Calibri"/>
          <w:sz w:val="22"/>
        </w:rPr>
        <w:t xml:space="preserve">plaintiff that her breasts could serve as a draws for older men to patronize the </w:t>
      </w:r>
      <w:r w:rsidR="00BB1F0A" w:rsidRPr="00FF31CD">
        <w:rPr>
          <w:rFonts w:ascii="Calibri" w:hAnsi="Calibri" w:cs="Calibri"/>
          <w:sz w:val="22"/>
        </w:rPr>
        <w:t>restaurant. Defendant</w:t>
      </w:r>
      <w:r w:rsidR="006D08E5" w:rsidRPr="00FF31CD">
        <w:rPr>
          <w:rFonts w:ascii="Calibri" w:hAnsi="Calibri" w:cs="Calibri"/>
          <w:sz w:val="22"/>
        </w:rPr>
        <w:t xml:space="preserve"> </w:t>
      </w:r>
      <w:r w:rsidR="00BB1F0A" w:rsidRPr="00FF31CD">
        <w:rPr>
          <w:rFonts w:ascii="Calibri" w:hAnsi="Calibri" w:cs="Calibri"/>
          <w:sz w:val="22"/>
        </w:rPr>
        <w:t>also</w:t>
      </w:r>
      <w:r w:rsidR="006D08E5" w:rsidRPr="00FF31CD">
        <w:rPr>
          <w:rFonts w:ascii="Calibri" w:hAnsi="Calibri" w:cs="Calibri"/>
          <w:sz w:val="22"/>
        </w:rPr>
        <w:t xml:space="preserve"> confronted </w:t>
      </w:r>
      <w:r w:rsidR="00815447" w:rsidRPr="00FF31CD">
        <w:rPr>
          <w:rFonts w:ascii="Calibri" w:hAnsi="Calibri" w:cs="Calibri"/>
          <w:sz w:val="22"/>
        </w:rPr>
        <w:t xml:space="preserve">the </w:t>
      </w:r>
      <w:r w:rsidR="00BB1F0A" w:rsidRPr="00FF31CD">
        <w:rPr>
          <w:rFonts w:ascii="Calibri" w:hAnsi="Calibri" w:cs="Calibri"/>
          <w:sz w:val="22"/>
        </w:rPr>
        <w:t>plaintiff</w:t>
      </w:r>
      <w:r w:rsidR="006D08E5" w:rsidRPr="00FF31CD">
        <w:rPr>
          <w:rFonts w:ascii="Calibri" w:hAnsi="Calibri" w:cs="Calibri"/>
          <w:sz w:val="22"/>
        </w:rPr>
        <w:t xml:space="preserve"> with sexually explicit materials and </w:t>
      </w:r>
      <w:r w:rsidR="00BB1F0A" w:rsidRPr="00FF31CD">
        <w:rPr>
          <w:rFonts w:ascii="Calibri" w:hAnsi="Calibri" w:cs="Calibri"/>
          <w:sz w:val="22"/>
        </w:rPr>
        <w:t>inappropriate</w:t>
      </w:r>
      <w:r w:rsidR="006D08E5" w:rsidRPr="00FF31CD">
        <w:rPr>
          <w:rFonts w:ascii="Calibri" w:hAnsi="Calibri" w:cs="Calibri"/>
          <w:sz w:val="22"/>
        </w:rPr>
        <w:t xml:space="preserve"> </w:t>
      </w:r>
      <w:r w:rsidR="00BB1F0A" w:rsidRPr="00FF31CD">
        <w:rPr>
          <w:rFonts w:ascii="Calibri" w:hAnsi="Calibri" w:cs="Calibri"/>
          <w:sz w:val="22"/>
        </w:rPr>
        <w:t>remarks</w:t>
      </w:r>
      <w:r w:rsidR="006D08E5" w:rsidRPr="00FF31CD">
        <w:rPr>
          <w:rFonts w:ascii="Calibri" w:hAnsi="Calibri" w:cs="Calibri"/>
          <w:sz w:val="22"/>
        </w:rPr>
        <w:t xml:space="preserve"> related to sex. </w:t>
      </w:r>
      <w:r w:rsidR="002966BC" w:rsidRPr="00FF31CD">
        <w:rPr>
          <w:rFonts w:ascii="Calibri" w:hAnsi="Calibri" w:cs="Calibri"/>
          <w:sz w:val="22"/>
        </w:rPr>
        <w:t xml:space="preserve">Defendant also retaliated against </w:t>
      </w:r>
      <w:r w:rsidR="00BC7491" w:rsidRPr="00FF31CD">
        <w:rPr>
          <w:rFonts w:ascii="Calibri" w:hAnsi="Calibri" w:cs="Calibri"/>
          <w:sz w:val="22"/>
        </w:rPr>
        <w:t xml:space="preserve">the </w:t>
      </w:r>
      <w:r w:rsidR="002966BC" w:rsidRPr="00FF31CD">
        <w:rPr>
          <w:rFonts w:ascii="Calibri" w:hAnsi="Calibri" w:cs="Calibri"/>
          <w:sz w:val="22"/>
        </w:rPr>
        <w:t>plaintiff for complaining about the discriminatory language.</w:t>
      </w:r>
      <w:r w:rsidR="00A90034" w:rsidRPr="00FF31CD">
        <w:rPr>
          <w:rFonts w:ascii="Calibri" w:hAnsi="Calibri" w:cs="Calibri"/>
          <w:sz w:val="22"/>
        </w:rPr>
        <w:t xml:space="preserve"> The court denied </w:t>
      </w:r>
      <w:r w:rsidR="00C23C43" w:rsidRPr="00FF31CD">
        <w:rPr>
          <w:rFonts w:ascii="Calibri" w:hAnsi="Calibri" w:cs="Calibri"/>
          <w:sz w:val="22"/>
        </w:rPr>
        <w:t>the defendant’s</w:t>
      </w:r>
      <w:r w:rsidR="00A90034" w:rsidRPr="00FF31CD">
        <w:rPr>
          <w:rFonts w:ascii="Calibri" w:hAnsi="Calibri" w:cs="Calibri"/>
          <w:sz w:val="22"/>
        </w:rPr>
        <w:t xml:space="preserve"> motion to di</w:t>
      </w:r>
      <w:r w:rsidR="005E784D" w:rsidRPr="00FF31CD">
        <w:rPr>
          <w:rFonts w:ascii="Calibri" w:hAnsi="Calibri" w:cs="Calibri"/>
          <w:sz w:val="22"/>
        </w:rPr>
        <w:t xml:space="preserve">smiss </w:t>
      </w:r>
      <w:r w:rsidR="00BC7491" w:rsidRPr="00FF31CD">
        <w:rPr>
          <w:rFonts w:ascii="Calibri" w:hAnsi="Calibri" w:cs="Calibri"/>
          <w:sz w:val="22"/>
        </w:rPr>
        <w:t xml:space="preserve">the </w:t>
      </w:r>
      <w:r w:rsidR="005E784D" w:rsidRPr="00FF31CD">
        <w:rPr>
          <w:rFonts w:ascii="Calibri" w:hAnsi="Calibri" w:cs="Calibri"/>
          <w:sz w:val="22"/>
        </w:rPr>
        <w:t xml:space="preserve">plaintiff’s hostile work environment claims. </w:t>
      </w:r>
      <w:r w:rsidR="00B41BDC" w:rsidRPr="00FF31CD">
        <w:rPr>
          <w:rFonts w:ascii="Calibri" w:hAnsi="Calibri" w:cs="Calibri"/>
          <w:sz w:val="22"/>
        </w:rPr>
        <w:t xml:space="preserve">And will hear </w:t>
      </w:r>
      <w:r w:rsidR="00BC7491" w:rsidRPr="00FF31CD">
        <w:rPr>
          <w:rFonts w:ascii="Calibri" w:hAnsi="Calibri" w:cs="Calibri"/>
          <w:sz w:val="22"/>
        </w:rPr>
        <w:t xml:space="preserve">the </w:t>
      </w:r>
      <w:r w:rsidR="00B41BDC" w:rsidRPr="00FF31CD">
        <w:rPr>
          <w:rFonts w:ascii="Calibri" w:hAnsi="Calibri" w:cs="Calibri"/>
          <w:sz w:val="22"/>
        </w:rPr>
        <w:t xml:space="preserve">plaintiff’s claims for retaliation as </w:t>
      </w:r>
      <w:r w:rsidR="00BC7491" w:rsidRPr="00FF31CD">
        <w:rPr>
          <w:rFonts w:ascii="Calibri" w:hAnsi="Calibri" w:cs="Calibri"/>
          <w:sz w:val="22"/>
        </w:rPr>
        <w:t xml:space="preserve">the </w:t>
      </w:r>
      <w:r w:rsidR="00B41BDC" w:rsidRPr="00FF31CD">
        <w:rPr>
          <w:rFonts w:ascii="Calibri" w:hAnsi="Calibri" w:cs="Calibri"/>
          <w:sz w:val="22"/>
        </w:rPr>
        <w:t>defendant</w:t>
      </w:r>
      <w:r w:rsidR="00BA0E8E" w:rsidRPr="00FF31CD">
        <w:rPr>
          <w:rFonts w:ascii="Calibri" w:hAnsi="Calibri" w:cs="Calibri"/>
          <w:sz w:val="22"/>
        </w:rPr>
        <w:t xml:space="preserve"> was </w:t>
      </w:r>
      <w:r w:rsidR="00BC7491" w:rsidRPr="00FF31CD">
        <w:rPr>
          <w:rFonts w:ascii="Calibri" w:hAnsi="Calibri" w:cs="Calibri"/>
          <w:sz w:val="22"/>
        </w:rPr>
        <w:t xml:space="preserve">the </w:t>
      </w:r>
      <w:r w:rsidR="00BA0E8E" w:rsidRPr="00FF31CD">
        <w:rPr>
          <w:rFonts w:ascii="Calibri" w:hAnsi="Calibri" w:cs="Calibri"/>
          <w:sz w:val="22"/>
        </w:rPr>
        <w:t xml:space="preserve">plaintiff’s employer </w:t>
      </w:r>
      <w:r w:rsidR="00C23C43" w:rsidRPr="00FF31CD">
        <w:rPr>
          <w:rFonts w:ascii="Calibri" w:hAnsi="Calibri" w:cs="Calibri"/>
          <w:sz w:val="22"/>
        </w:rPr>
        <w:t xml:space="preserve">when </w:t>
      </w:r>
      <w:r w:rsidR="00BC7491" w:rsidRPr="00FF31CD">
        <w:rPr>
          <w:rFonts w:ascii="Calibri" w:hAnsi="Calibri" w:cs="Calibri"/>
          <w:sz w:val="22"/>
        </w:rPr>
        <w:t xml:space="preserve">the </w:t>
      </w:r>
      <w:r w:rsidR="00C23C43" w:rsidRPr="00FF31CD">
        <w:rPr>
          <w:rFonts w:ascii="Calibri" w:hAnsi="Calibri" w:cs="Calibri"/>
          <w:sz w:val="22"/>
        </w:rPr>
        <w:t xml:space="preserve">defendant demoted </w:t>
      </w:r>
      <w:r w:rsidR="00BC7491" w:rsidRPr="00FF31CD">
        <w:rPr>
          <w:rFonts w:ascii="Calibri" w:hAnsi="Calibri" w:cs="Calibri"/>
          <w:sz w:val="22"/>
        </w:rPr>
        <w:t xml:space="preserve">the </w:t>
      </w:r>
      <w:r w:rsidR="00C23C43" w:rsidRPr="00FF31CD">
        <w:rPr>
          <w:rFonts w:ascii="Calibri" w:hAnsi="Calibri" w:cs="Calibri"/>
          <w:sz w:val="22"/>
        </w:rPr>
        <w:t>plaintiff.</w:t>
      </w:r>
    </w:p>
    <w:p w14:paraId="18627E86" w14:textId="77777777" w:rsidR="0071631F" w:rsidRPr="00FF31CD" w:rsidRDefault="0071631F" w:rsidP="0071631F">
      <w:pPr>
        <w:pStyle w:val="ListParagraph"/>
        <w:ind w:left="900" w:firstLine="0"/>
        <w:rPr>
          <w:rFonts w:ascii="Calibri" w:hAnsi="Calibri" w:cs="Calibri"/>
          <w:sz w:val="22"/>
        </w:rPr>
      </w:pPr>
    </w:p>
    <w:p w14:paraId="46273186" w14:textId="55CAF400" w:rsidR="00233FDF" w:rsidRPr="00FF31CD" w:rsidRDefault="00233FDF" w:rsidP="00D431E2">
      <w:pPr>
        <w:rPr>
          <w:rFonts w:ascii="Calibri" w:hAnsi="Calibri" w:cs="Calibri"/>
          <w:b/>
          <w:bCs/>
          <w:sz w:val="24"/>
          <w:szCs w:val="24"/>
        </w:rPr>
      </w:pPr>
      <w:r w:rsidRPr="00FF31CD">
        <w:rPr>
          <w:rFonts w:ascii="Calibri" w:hAnsi="Calibri" w:cs="Calibri"/>
          <w:b/>
          <w:bCs/>
          <w:sz w:val="24"/>
          <w:szCs w:val="24"/>
        </w:rPr>
        <w:t>Employment – Overtime Pay</w:t>
      </w:r>
    </w:p>
    <w:p w14:paraId="526AC770" w14:textId="02465F82" w:rsidR="00233FDF" w:rsidRPr="00FF31CD" w:rsidRDefault="00E25B7D" w:rsidP="00233FDF">
      <w:pPr>
        <w:pStyle w:val="ListParagraph"/>
        <w:numPr>
          <w:ilvl w:val="0"/>
          <w:numId w:val="1"/>
        </w:numPr>
        <w:rPr>
          <w:rFonts w:ascii="Calibri" w:hAnsi="Calibri" w:cs="Calibri"/>
          <w:sz w:val="22"/>
        </w:rPr>
      </w:pPr>
      <w:r w:rsidRPr="00FF31CD">
        <w:rPr>
          <w:rFonts w:ascii="Calibri" w:hAnsi="Calibri" w:cs="Calibri"/>
          <w:b/>
          <w:bCs/>
          <w:sz w:val="22"/>
        </w:rPr>
        <w:t xml:space="preserve">Sbarbaro v. Choice Hotels International, Inc., et al, </w:t>
      </w:r>
      <w:r w:rsidRPr="00FF31CD">
        <w:rPr>
          <w:rFonts w:ascii="Calibri" w:hAnsi="Calibri" w:cs="Calibri"/>
          <w:sz w:val="22"/>
        </w:rPr>
        <w:t xml:space="preserve">2024 WL 4309992 (S.D. TX, 2024).  Plaintiff was a fulltime employee at defendant hotel with the title Overnight Guest Services Representative.  She was paid hourly.  She typically worked an 8-9 hour evening shift followed by an 8-hour on call period.  Plaintiff was not paid for her time on-call unless she was called into work.  She sued claiming entitlement to overtime pay for the time she was on-call.  The hotel argued on-call time during which plaintiff was not actively assisting guests was not compensable work.  The court agreed with the hotel and granted defendant’s motion for summary judgment.  </w:t>
      </w:r>
    </w:p>
    <w:p w14:paraId="24D8AF37" w14:textId="77777777" w:rsidR="00E25B7D" w:rsidRPr="00FF31CD" w:rsidRDefault="00E25B7D" w:rsidP="00E25B7D">
      <w:pPr>
        <w:pStyle w:val="ListParagraph"/>
        <w:ind w:left="1080" w:firstLine="0"/>
        <w:rPr>
          <w:rFonts w:ascii="Calibri" w:hAnsi="Calibri" w:cs="Calibri"/>
          <w:b/>
          <w:bCs/>
          <w:szCs w:val="24"/>
        </w:rPr>
      </w:pPr>
    </w:p>
    <w:p w14:paraId="6EB2C7C8" w14:textId="06ECD154" w:rsidR="00A1234A" w:rsidRPr="00FF31CD" w:rsidRDefault="00A1234A" w:rsidP="00D431E2">
      <w:pPr>
        <w:rPr>
          <w:rFonts w:ascii="Calibri" w:hAnsi="Calibri" w:cs="Calibri"/>
        </w:rPr>
      </w:pPr>
      <w:r w:rsidRPr="00FF31CD">
        <w:rPr>
          <w:rFonts w:ascii="Calibri" w:hAnsi="Calibri" w:cs="Calibri"/>
          <w:b/>
          <w:bCs/>
          <w:sz w:val="24"/>
          <w:szCs w:val="24"/>
        </w:rPr>
        <w:t>Employment – Sexual Harassment</w:t>
      </w:r>
    </w:p>
    <w:p w14:paraId="3DF5DDC7" w14:textId="6CADD894" w:rsidR="00A1234A" w:rsidRPr="00FF31CD" w:rsidRDefault="00A1234A" w:rsidP="008F0555">
      <w:pPr>
        <w:pStyle w:val="ListParagraph"/>
        <w:numPr>
          <w:ilvl w:val="0"/>
          <w:numId w:val="1"/>
        </w:numPr>
        <w:rPr>
          <w:rFonts w:ascii="Calibri" w:hAnsi="Calibri" w:cs="Calibri"/>
          <w:b/>
          <w:bCs/>
          <w:szCs w:val="24"/>
        </w:rPr>
      </w:pPr>
      <w:r w:rsidRPr="00FF31CD">
        <w:rPr>
          <w:rFonts w:ascii="Calibri" w:hAnsi="Calibri" w:cs="Calibri"/>
          <w:b/>
          <w:bCs/>
          <w:sz w:val="22"/>
        </w:rPr>
        <w:t>Callahan v. Xayah Enterprises, LLC</w:t>
      </w:r>
      <w:r w:rsidRPr="00FF31CD">
        <w:rPr>
          <w:rFonts w:ascii="Calibri" w:hAnsi="Calibri" w:cs="Calibri"/>
          <w:sz w:val="22"/>
        </w:rPr>
        <w:t xml:space="preserve">, No. 23 cv-3265 U.S. District Court, N.D., Ill (05/10/2024). Plaintiff </w:t>
      </w:r>
      <w:r w:rsidR="00D431E2" w:rsidRPr="00FF31CD">
        <w:rPr>
          <w:rFonts w:ascii="Calibri" w:hAnsi="Calibri" w:cs="Calibri"/>
          <w:sz w:val="22"/>
        </w:rPr>
        <w:t>was working for defendant Harold’s Chick shack restaurant and brought suit against the defendant</w:t>
      </w:r>
      <w:r w:rsidRPr="00FF31CD">
        <w:rPr>
          <w:rFonts w:ascii="Calibri" w:hAnsi="Calibri" w:cs="Calibri"/>
          <w:sz w:val="22"/>
        </w:rPr>
        <w:t xml:space="preserve"> alleging sexual harassment, sex-based discrimination, assault, negligent retention, and negligent supervision and training. </w:t>
      </w:r>
      <w:r w:rsidR="00D431E2" w:rsidRPr="00FF31CD">
        <w:rPr>
          <w:rFonts w:ascii="Calibri" w:hAnsi="Calibri" w:cs="Calibri"/>
          <w:sz w:val="22"/>
        </w:rPr>
        <w:t>Plaintiff</w:t>
      </w:r>
      <w:r w:rsidRPr="00FF31CD">
        <w:rPr>
          <w:rFonts w:ascii="Calibri" w:hAnsi="Calibri" w:cs="Calibri"/>
          <w:sz w:val="22"/>
        </w:rPr>
        <w:t xml:space="preserve"> claims that while working at </w:t>
      </w:r>
      <w:r w:rsidR="000228CC" w:rsidRPr="00FF31CD">
        <w:rPr>
          <w:rFonts w:ascii="Calibri" w:hAnsi="Calibri" w:cs="Calibri"/>
          <w:sz w:val="22"/>
        </w:rPr>
        <w:t>the</w:t>
      </w:r>
      <w:r w:rsidR="00D431E2" w:rsidRPr="00FF31CD">
        <w:rPr>
          <w:rFonts w:ascii="Calibri" w:hAnsi="Calibri" w:cs="Calibri"/>
          <w:sz w:val="22"/>
        </w:rPr>
        <w:t xml:space="preserve"> </w:t>
      </w:r>
      <w:r w:rsidRPr="00FF31CD">
        <w:rPr>
          <w:rFonts w:ascii="Calibri" w:hAnsi="Calibri" w:cs="Calibri"/>
          <w:sz w:val="22"/>
        </w:rPr>
        <w:t xml:space="preserve">restaurant, she was sexually harassed by a coworker named Jerry, who later threatened her with a gun in retaliation for reporting the harassment. </w:t>
      </w:r>
      <w:r w:rsidR="00D431E2" w:rsidRPr="00FF31CD">
        <w:rPr>
          <w:rFonts w:ascii="Calibri" w:hAnsi="Calibri" w:cs="Calibri"/>
          <w:sz w:val="22"/>
        </w:rPr>
        <w:t>Defendant</w:t>
      </w:r>
      <w:r w:rsidRPr="00FF31CD">
        <w:rPr>
          <w:rFonts w:ascii="Calibri" w:hAnsi="Calibri" w:cs="Calibri"/>
          <w:sz w:val="22"/>
        </w:rPr>
        <w:t xml:space="preserve"> moved to dismiss the complaint, arguing lack of subject-matter jurisdiction and failure to state a claim. However, the court denied both motions. </w:t>
      </w:r>
      <w:r w:rsidR="00D431E2" w:rsidRPr="00FF31CD">
        <w:rPr>
          <w:rFonts w:ascii="Calibri" w:hAnsi="Calibri" w:cs="Calibri"/>
          <w:sz w:val="22"/>
        </w:rPr>
        <w:t xml:space="preserve">The defendant </w:t>
      </w:r>
      <w:r w:rsidRPr="00FF31CD">
        <w:rPr>
          <w:rFonts w:ascii="Calibri" w:hAnsi="Calibri" w:cs="Calibri"/>
          <w:sz w:val="22"/>
        </w:rPr>
        <w:t xml:space="preserve">argued that </w:t>
      </w:r>
      <w:r w:rsidR="00D431E2" w:rsidRPr="00FF31CD">
        <w:rPr>
          <w:rFonts w:ascii="Calibri" w:hAnsi="Calibri" w:cs="Calibri"/>
          <w:sz w:val="22"/>
        </w:rPr>
        <w:t>it</w:t>
      </w:r>
      <w:r w:rsidRPr="00FF31CD">
        <w:rPr>
          <w:rFonts w:ascii="Calibri" w:hAnsi="Calibri" w:cs="Calibri"/>
          <w:sz w:val="22"/>
        </w:rPr>
        <w:t xml:space="preserve"> shouldn't be held liable under </w:t>
      </w:r>
      <w:r w:rsidRPr="00FF31CD">
        <w:rPr>
          <w:rFonts w:ascii="Calibri" w:hAnsi="Calibri" w:cs="Calibri"/>
          <w:sz w:val="22"/>
        </w:rPr>
        <w:lastRenderedPageBreak/>
        <w:t xml:space="preserve">Title VII because Jerry, the alleged harasser, wasn't their employee. The court rejected this, stating that whether Jerry was an employee is a matter </w:t>
      </w:r>
      <w:r w:rsidR="00D431E2" w:rsidRPr="00FF31CD">
        <w:rPr>
          <w:rFonts w:ascii="Calibri" w:hAnsi="Calibri" w:cs="Calibri"/>
          <w:sz w:val="22"/>
        </w:rPr>
        <w:t>that goes to the</w:t>
      </w:r>
      <w:r w:rsidRPr="00FF31CD">
        <w:rPr>
          <w:rFonts w:ascii="Calibri" w:hAnsi="Calibri" w:cs="Calibri"/>
          <w:sz w:val="22"/>
        </w:rPr>
        <w:t xml:space="preserve"> merits of the case, not subject-matter jurisdiction. Regarding the Title VII claims, the court found them plausible, rejecting </w:t>
      </w:r>
      <w:r w:rsidR="00595834" w:rsidRPr="00FF31CD">
        <w:rPr>
          <w:rFonts w:ascii="Calibri" w:hAnsi="Calibri" w:cs="Calibri"/>
          <w:sz w:val="22"/>
        </w:rPr>
        <w:t>the defendant’s</w:t>
      </w:r>
      <w:r w:rsidRPr="00FF31CD">
        <w:rPr>
          <w:rFonts w:ascii="Calibri" w:hAnsi="Calibri" w:cs="Calibri"/>
          <w:sz w:val="22"/>
        </w:rPr>
        <w:t xml:space="preserve"> argument that the harassment wasn't based on gender and that the assault wasn't within the scope of Jerry's employment. The court also denied </w:t>
      </w:r>
      <w:r w:rsidR="00595834" w:rsidRPr="00FF31CD">
        <w:rPr>
          <w:rFonts w:ascii="Calibri" w:hAnsi="Calibri" w:cs="Calibri"/>
          <w:sz w:val="22"/>
        </w:rPr>
        <w:t>the defendant’s</w:t>
      </w:r>
      <w:r w:rsidRPr="00FF31CD">
        <w:rPr>
          <w:rFonts w:ascii="Calibri" w:hAnsi="Calibri" w:cs="Calibri"/>
          <w:sz w:val="22"/>
        </w:rPr>
        <w:t xml:space="preserve"> argument that </w:t>
      </w:r>
      <w:r w:rsidR="00595834" w:rsidRPr="00FF31CD">
        <w:rPr>
          <w:rFonts w:ascii="Calibri" w:hAnsi="Calibri" w:cs="Calibri"/>
          <w:sz w:val="22"/>
        </w:rPr>
        <w:t>the plaintiff</w:t>
      </w:r>
      <w:r w:rsidRPr="00FF31CD">
        <w:rPr>
          <w:rFonts w:ascii="Calibri" w:hAnsi="Calibri" w:cs="Calibri"/>
          <w:sz w:val="22"/>
        </w:rPr>
        <w:t xml:space="preserve"> voluntarily left her job, finding that she was effectively forced to quit due to the harassment and the company's inaction. Regarding the state law claims of assault, negligent retention, and negligent supervision and training, </w:t>
      </w:r>
      <w:r w:rsidR="00595834" w:rsidRPr="00FF31CD">
        <w:rPr>
          <w:rFonts w:ascii="Calibri" w:hAnsi="Calibri" w:cs="Calibri"/>
          <w:sz w:val="22"/>
        </w:rPr>
        <w:t>the defendant’s</w:t>
      </w:r>
      <w:r w:rsidRPr="00FF31CD">
        <w:rPr>
          <w:rFonts w:ascii="Calibri" w:hAnsi="Calibri" w:cs="Calibri"/>
          <w:sz w:val="22"/>
        </w:rPr>
        <w:t xml:space="preserve"> arguments were also dismissed. The court found that even if the assault claim </w:t>
      </w:r>
      <w:r w:rsidR="00E20628" w:rsidRPr="00FF31CD">
        <w:rPr>
          <w:rFonts w:ascii="Calibri" w:hAnsi="Calibri" w:cs="Calibri"/>
          <w:sz w:val="22"/>
        </w:rPr>
        <w:t>were</w:t>
      </w:r>
      <w:r w:rsidRPr="00FF31CD">
        <w:rPr>
          <w:rFonts w:ascii="Calibri" w:hAnsi="Calibri" w:cs="Calibri"/>
          <w:sz w:val="22"/>
        </w:rPr>
        <w:t xml:space="preserve"> based on sexual harassment, which it wasn't, the claims of negligent retention and supervision were distinct and could proceed independently. </w:t>
      </w:r>
      <w:r w:rsidR="00595834" w:rsidRPr="00FF31CD">
        <w:rPr>
          <w:rFonts w:ascii="Calibri" w:hAnsi="Calibri" w:cs="Calibri"/>
          <w:sz w:val="22"/>
        </w:rPr>
        <w:t>T</w:t>
      </w:r>
      <w:r w:rsidRPr="00FF31CD">
        <w:rPr>
          <w:rFonts w:ascii="Calibri" w:hAnsi="Calibri" w:cs="Calibri"/>
          <w:sz w:val="22"/>
        </w:rPr>
        <w:t>he court denied</w:t>
      </w:r>
      <w:r w:rsidR="00595834" w:rsidRPr="00FF31CD">
        <w:rPr>
          <w:rFonts w:ascii="Calibri" w:hAnsi="Calibri" w:cs="Calibri"/>
          <w:sz w:val="22"/>
        </w:rPr>
        <w:t xml:space="preserve"> the defendant’s</w:t>
      </w:r>
      <w:r w:rsidRPr="00FF31CD">
        <w:rPr>
          <w:rFonts w:ascii="Calibri" w:hAnsi="Calibri" w:cs="Calibri"/>
          <w:sz w:val="22"/>
        </w:rPr>
        <w:t xml:space="preserve"> motion to dismiss, allowing the case to proceed.</w:t>
      </w:r>
    </w:p>
    <w:p w14:paraId="1778AD0B" w14:textId="77777777" w:rsidR="00C40B73" w:rsidRPr="00FF31CD" w:rsidRDefault="00C40B73" w:rsidP="00C40B73">
      <w:pPr>
        <w:pStyle w:val="ListParagraph"/>
        <w:ind w:left="1080" w:firstLine="0"/>
        <w:rPr>
          <w:rFonts w:ascii="Calibri" w:hAnsi="Calibri" w:cs="Calibri"/>
          <w:b/>
          <w:bCs/>
          <w:szCs w:val="24"/>
        </w:rPr>
      </w:pPr>
    </w:p>
    <w:p w14:paraId="00206E88" w14:textId="6AF634E2" w:rsidR="00287A4F" w:rsidRPr="00FF31CD" w:rsidRDefault="00287A4F" w:rsidP="00E44FDF">
      <w:pPr>
        <w:rPr>
          <w:rFonts w:ascii="Calibri" w:hAnsi="Calibri" w:cs="Calibri"/>
          <w:b/>
          <w:bCs/>
          <w:sz w:val="24"/>
          <w:szCs w:val="24"/>
        </w:rPr>
      </w:pPr>
      <w:r w:rsidRPr="00FF31CD">
        <w:rPr>
          <w:rFonts w:ascii="Calibri" w:hAnsi="Calibri" w:cs="Calibri"/>
          <w:b/>
          <w:bCs/>
          <w:sz w:val="24"/>
          <w:szCs w:val="24"/>
        </w:rPr>
        <w:t>Expert Testimony</w:t>
      </w:r>
    </w:p>
    <w:p w14:paraId="77F4A80D" w14:textId="62A4E52F" w:rsidR="00287A4F" w:rsidRPr="00FF31CD" w:rsidRDefault="00287A4F" w:rsidP="00287A4F">
      <w:pPr>
        <w:pStyle w:val="ListParagraph"/>
        <w:numPr>
          <w:ilvl w:val="0"/>
          <w:numId w:val="1"/>
        </w:numPr>
        <w:rPr>
          <w:rFonts w:ascii="Calibri" w:hAnsi="Calibri" w:cs="Calibri"/>
          <w:sz w:val="22"/>
        </w:rPr>
      </w:pPr>
      <w:r w:rsidRPr="00FF31CD">
        <w:rPr>
          <w:rFonts w:ascii="Calibri" w:hAnsi="Calibri" w:cs="Calibri"/>
          <w:b/>
          <w:bCs/>
          <w:szCs w:val="24"/>
        </w:rPr>
        <w:t>Faxel v. Wilderness Hotel &amp; R</w:t>
      </w:r>
      <w:r w:rsidR="00DB4E61" w:rsidRPr="00FF31CD">
        <w:rPr>
          <w:rFonts w:ascii="Calibri" w:hAnsi="Calibri" w:cs="Calibri"/>
          <w:b/>
          <w:bCs/>
          <w:szCs w:val="24"/>
        </w:rPr>
        <w:t xml:space="preserve">esort, Inc. v. ProSlide, </w:t>
      </w:r>
      <w:r w:rsidR="00DB4E61" w:rsidRPr="00FF31CD">
        <w:rPr>
          <w:rFonts w:ascii="Calibri" w:hAnsi="Calibri" w:cs="Calibri"/>
          <w:sz w:val="22"/>
        </w:rPr>
        <w:t xml:space="preserve">No. 21-1967, U.S. Ct. of App., Seventh Cir. (08/15/2024). </w:t>
      </w:r>
      <w:r w:rsidR="00E033F8" w:rsidRPr="00FF31CD">
        <w:rPr>
          <w:rFonts w:ascii="Calibri" w:hAnsi="Calibri" w:cs="Calibri"/>
          <w:sz w:val="22"/>
        </w:rPr>
        <w:t>Plaintiff Meghan and Mike Faxel visited the “</w:t>
      </w:r>
      <w:r w:rsidR="002D2BD1" w:rsidRPr="00FF31CD">
        <w:rPr>
          <w:rFonts w:ascii="Calibri" w:hAnsi="Calibri" w:cs="Calibri"/>
          <w:sz w:val="22"/>
        </w:rPr>
        <w:t>W</w:t>
      </w:r>
      <w:r w:rsidR="00E033F8" w:rsidRPr="00FF31CD">
        <w:rPr>
          <w:rFonts w:ascii="Calibri" w:hAnsi="Calibri" w:cs="Calibri"/>
          <w:sz w:val="22"/>
        </w:rPr>
        <w:t>ild West” water par</w:t>
      </w:r>
      <w:r w:rsidR="002D2BD1" w:rsidRPr="00FF31CD">
        <w:rPr>
          <w:rFonts w:ascii="Calibri" w:hAnsi="Calibri" w:cs="Calibri"/>
          <w:sz w:val="22"/>
        </w:rPr>
        <w:t>k</w:t>
      </w:r>
      <w:r w:rsidR="00212826" w:rsidRPr="00FF31CD">
        <w:rPr>
          <w:rFonts w:ascii="Calibri" w:hAnsi="Calibri" w:cs="Calibri"/>
          <w:sz w:val="22"/>
        </w:rPr>
        <w:t xml:space="preserve"> at the Wilderness Hotel in Wisconsin Dells, </w:t>
      </w:r>
      <w:r w:rsidR="002D2BD1" w:rsidRPr="00FF31CD">
        <w:rPr>
          <w:rFonts w:ascii="Calibri" w:hAnsi="Calibri" w:cs="Calibri"/>
          <w:sz w:val="22"/>
        </w:rPr>
        <w:t xml:space="preserve"> and Meghan was injured on a water slide</w:t>
      </w:r>
      <w:r w:rsidR="00212826" w:rsidRPr="00FF31CD">
        <w:rPr>
          <w:rFonts w:ascii="Calibri" w:hAnsi="Calibri" w:cs="Calibri"/>
          <w:sz w:val="22"/>
        </w:rPr>
        <w:t xml:space="preserve"> known as the “Black Hole.” The plaintiffs’ sued the hotel for negligence, common-law premises liability, and loss of consortium. </w:t>
      </w:r>
      <w:r w:rsidR="00C4354A" w:rsidRPr="00FF31CD">
        <w:rPr>
          <w:rFonts w:ascii="Calibri" w:hAnsi="Calibri" w:cs="Calibri"/>
          <w:sz w:val="22"/>
        </w:rPr>
        <w:t xml:space="preserve">The hotel sought contribution from ProSlide Technology, the slides’ manufacturer. </w:t>
      </w:r>
      <w:r w:rsidR="004D75A4" w:rsidRPr="00FF31CD">
        <w:rPr>
          <w:rFonts w:ascii="Calibri" w:hAnsi="Calibri" w:cs="Calibri"/>
          <w:sz w:val="22"/>
        </w:rPr>
        <w:t xml:space="preserve">The court imposed a deadline for the plaintiffs to </w:t>
      </w:r>
      <w:r w:rsidR="00B95982" w:rsidRPr="00FF31CD">
        <w:rPr>
          <w:rFonts w:ascii="Calibri" w:hAnsi="Calibri" w:cs="Calibri"/>
          <w:sz w:val="22"/>
        </w:rPr>
        <w:t xml:space="preserve">submit a liability expert, which the magistrate judge found necessary to establish the standard of care for the water park operator. </w:t>
      </w:r>
      <w:r w:rsidR="0006246C" w:rsidRPr="00FF31CD">
        <w:rPr>
          <w:rFonts w:ascii="Calibri" w:hAnsi="Calibri" w:cs="Calibri"/>
          <w:sz w:val="22"/>
        </w:rPr>
        <w:t xml:space="preserve">The plaintiffs did not meet the deadline. Without expert testimony, the court ruled that the plaintiffs could not prove their claims since the safety protocols, inspection, and maintenance standards of water slides are not within the common knowledge of a jury. The court granted summary judgment in favor of the defendant ant the decision was affirmed by the appellate court. </w:t>
      </w:r>
      <w:r w:rsidR="00FF0F60" w:rsidRPr="00FF31CD">
        <w:rPr>
          <w:rFonts w:ascii="Calibri" w:hAnsi="Calibri" w:cs="Calibri"/>
          <w:sz w:val="22"/>
        </w:rPr>
        <w:t>The ruling underscored the importance of expert testimony in cases involving specialized knowledge, especially in establishing a defendant's duty of care in complex environments like water parks.</w:t>
      </w:r>
    </w:p>
    <w:p w14:paraId="5F5E88E2" w14:textId="77777777" w:rsidR="00B27047" w:rsidRPr="00FF31CD" w:rsidRDefault="00B27047" w:rsidP="00B27047">
      <w:pPr>
        <w:rPr>
          <w:rFonts w:ascii="Calibri" w:hAnsi="Calibri" w:cs="Calibri"/>
        </w:rPr>
      </w:pPr>
    </w:p>
    <w:p w14:paraId="25226E11" w14:textId="506B9EDE" w:rsidR="00B27047" w:rsidRPr="00FF31CD" w:rsidRDefault="00B27047" w:rsidP="00B27047">
      <w:pPr>
        <w:rPr>
          <w:rFonts w:ascii="Calibri" w:hAnsi="Calibri" w:cs="Calibri"/>
          <w:b/>
          <w:bCs/>
          <w:sz w:val="24"/>
          <w:szCs w:val="24"/>
        </w:rPr>
      </w:pPr>
      <w:r w:rsidRPr="00FF31CD">
        <w:rPr>
          <w:rFonts w:ascii="Calibri" w:hAnsi="Calibri" w:cs="Calibri"/>
          <w:b/>
          <w:bCs/>
          <w:sz w:val="24"/>
          <w:szCs w:val="24"/>
        </w:rPr>
        <w:t>Expectation of Privacy</w:t>
      </w:r>
    </w:p>
    <w:p w14:paraId="5625B15C" w14:textId="101588B2" w:rsidR="00BB056A" w:rsidRPr="00FF31CD" w:rsidRDefault="000D5849" w:rsidP="00BB056A">
      <w:pPr>
        <w:pStyle w:val="NormalWeb"/>
        <w:numPr>
          <w:ilvl w:val="0"/>
          <w:numId w:val="1"/>
        </w:numPr>
        <w:jc w:val="both"/>
        <w:rPr>
          <w:rFonts w:asciiTheme="minorHAnsi" w:hAnsiTheme="minorHAnsi" w:cstheme="minorHAnsi"/>
          <w:sz w:val="22"/>
          <w:szCs w:val="22"/>
        </w:rPr>
      </w:pPr>
      <w:r w:rsidRPr="00FF31CD">
        <w:rPr>
          <w:rFonts w:asciiTheme="minorHAnsi" w:hAnsiTheme="minorHAnsi" w:cstheme="minorHAnsi"/>
          <w:b/>
          <w:bCs/>
          <w:sz w:val="22"/>
          <w:szCs w:val="22"/>
        </w:rPr>
        <w:t xml:space="preserve">Couch v. State, </w:t>
      </w:r>
      <w:r w:rsidRPr="00FF31CD">
        <w:rPr>
          <w:rFonts w:asciiTheme="minorHAnsi" w:hAnsiTheme="minorHAnsi" w:cstheme="minorHAnsi"/>
          <w:sz w:val="22"/>
          <w:szCs w:val="22"/>
        </w:rPr>
        <w:t>No. A24A1034</w:t>
      </w:r>
      <w:r w:rsidR="0046631F" w:rsidRPr="00FF31CD">
        <w:rPr>
          <w:rFonts w:asciiTheme="minorHAnsi" w:hAnsiTheme="minorHAnsi" w:cstheme="minorHAnsi"/>
          <w:sz w:val="22"/>
          <w:szCs w:val="22"/>
        </w:rPr>
        <w:t>, Ct. of Appls GA (09/24/</w:t>
      </w:r>
      <w:r w:rsidR="005A3BD1" w:rsidRPr="00FF31CD">
        <w:rPr>
          <w:rFonts w:asciiTheme="minorHAnsi" w:hAnsiTheme="minorHAnsi" w:cstheme="minorHAnsi"/>
          <w:sz w:val="22"/>
          <w:szCs w:val="22"/>
        </w:rPr>
        <w:t xml:space="preserve">2024). </w:t>
      </w:r>
      <w:r w:rsidR="0046631F" w:rsidRPr="00FF31CD">
        <w:rPr>
          <w:rFonts w:asciiTheme="minorHAnsi" w:hAnsiTheme="minorHAnsi" w:cstheme="minorHAnsi"/>
          <w:sz w:val="22"/>
          <w:szCs w:val="22"/>
        </w:rPr>
        <w:t xml:space="preserve"> </w:t>
      </w:r>
      <w:r w:rsidR="00BB056A" w:rsidRPr="00FF31CD">
        <w:rPr>
          <w:rFonts w:asciiTheme="minorHAnsi" w:hAnsiTheme="minorHAnsi" w:cstheme="minorHAnsi"/>
          <w:sz w:val="22"/>
          <w:szCs w:val="22"/>
        </w:rPr>
        <w:t>Th</w:t>
      </w:r>
      <w:r w:rsidR="005A3BD1" w:rsidRPr="00FF31CD">
        <w:rPr>
          <w:rFonts w:asciiTheme="minorHAnsi" w:hAnsiTheme="minorHAnsi" w:cstheme="minorHAnsi"/>
          <w:sz w:val="22"/>
          <w:szCs w:val="22"/>
        </w:rPr>
        <w:t>is</w:t>
      </w:r>
      <w:r w:rsidR="00BB056A" w:rsidRPr="00FF31CD">
        <w:rPr>
          <w:rFonts w:asciiTheme="minorHAnsi" w:hAnsiTheme="minorHAnsi" w:cstheme="minorHAnsi"/>
          <w:sz w:val="22"/>
          <w:szCs w:val="22"/>
        </w:rPr>
        <w:t xml:space="preserve"> case revolves around whether Christopher John Couch retained a reasonable expectation of privacy in a hotel room after checkout time had passed without an extension. Law enforcement, seeking a fugitive, entered the room — registered to Couch's father — with the hotel manager’s consent after checkout time. They found narcotics in plain view, leading to Couch’s arrest and conviction on drug and firearm charges. Couch argued the search was unconstitutional, but the trial court ruled he lacked standing to contest it. The appellate court affirmed this decision, citing established precedent that a guest's reasonable expectation of privacy ends at checkout. Since Couch's right to occupy the room ended at 11:00 a.m. without an extension, the hotel regained control and could lawfully consent to the search. The court rejected Couch’s argument that the hotel needed to take further action to revoke his privacy rights, emphasizing that his failure to extend the stay forfeited those rights. The judgment denying Couch’s motion to suppress the evidence was upheld.</w:t>
      </w:r>
    </w:p>
    <w:p w14:paraId="3CD2D13D" w14:textId="77777777" w:rsidR="00C40B73" w:rsidRPr="00FF31CD" w:rsidRDefault="00C40B73" w:rsidP="00C40B73">
      <w:pPr>
        <w:pStyle w:val="NormalWeb"/>
        <w:ind w:left="1080"/>
        <w:jc w:val="both"/>
        <w:rPr>
          <w:rFonts w:asciiTheme="minorHAnsi" w:hAnsiTheme="minorHAnsi" w:cstheme="minorHAnsi"/>
          <w:sz w:val="22"/>
          <w:szCs w:val="22"/>
        </w:rPr>
      </w:pPr>
    </w:p>
    <w:p w14:paraId="46F0B8B9" w14:textId="50D0604D" w:rsidR="00663CFE" w:rsidRPr="00FF31CD" w:rsidRDefault="00663CFE" w:rsidP="00E44FDF">
      <w:pPr>
        <w:rPr>
          <w:rFonts w:ascii="Calibri" w:hAnsi="Calibri" w:cs="Calibri"/>
          <w:b/>
          <w:bCs/>
          <w:sz w:val="24"/>
          <w:szCs w:val="24"/>
        </w:rPr>
      </w:pPr>
      <w:r w:rsidRPr="00FF31CD">
        <w:rPr>
          <w:rFonts w:ascii="Calibri" w:hAnsi="Calibri" w:cs="Calibri"/>
          <w:b/>
          <w:bCs/>
          <w:sz w:val="24"/>
          <w:szCs w:val="24"/>
        </w:rPr>
        <w:lastRenderedPageBreak/>
        <w:t>Family Medical Leave Act</w:t>
      </w:r>
    </w:p>
    <w:p w14:paraId="7DA8238C" w14:textId="434278CA" w:rsidR="00663CFE" w:rsidRPr="00FF31CD" w:rsidRDefault="00B12B2C" w:rsidP="00ED250D">
      <w:pPr>
        <w:pStyle w:val="ListParagraph"/>
        <w:numPr>
          <w:ilvl w:val="0"/>
          <w:numId w:val="1"/>
        </w:numPr>
        <w:rPr>
          <w:rFonts w:ascii="Calibri" w:hAnsi="Calibri" w:cs="Calibri"/>
          <w:sz w:val="22"/>
        </w:rPr>
      </w:pPr>
      <w:r w:rsidRPr="00FF31CD">
        <w:rPr>
          <w:rFonts w:ascii="Calibri" w:hAnsi="Calibri" w:cs="Calibri"/>
          <w:b/>
          <w:bCs/>
          <w:sz w:val="22"/>
        </w:rPr>
        <w:t xml:space="preserve">Truitt v Ameristar Casino Hotel Vicksburg, </w:t>
      </w:r>
      <w:r w:rsidRPr="00FF31CD">
        <w:rPr>
          <w:rFonts w:ascii="Calibri" w:hAnsi="Calibri" w:cs="Calibri"/>
          <w:sz w:val="22"/>
        </w:rPr>
        <w:t>2024 WL 4045475 (S.D. Miss., 2024).  Plaintiff was an employee of defendant hotel and sought leave under the Family Medical Leave Act (FMLA).  The request was granted.  Thereafter plaintiff and others were terminated for violating a company policy by pocketing tips instead of dropping the money into the appropriate box to be pooled.  Plaintiff filed a charge of retaliation in violation of the FMLA.  The hotel argued the passage of time between the FMLA request and the termination (2 months) negated any inference that the termination resulted from the leave request.  Said the court, “two months is not so great as to foreclose the possibility of a causal connection.”  The court therefore denied defendant’s motion.</w:t>
      </w:r>
    </w:p>
    <w:p w14:paraId="3A58BBEF" w14:textId="77777777" w:rsidR="00454E9C" w:rsidRPr="00FF31CD" w:rsidRDefault="00454E9C" w:rsidP="00E44FDF">
      <w:pPr>
        <w:rPr>
          <w:rFonts w:ascii="Calibri" w:hAnsi="Calibri" w:cs="Calibri"/>
          <w:b/>
          <w:bCs/>
          <w:sz w:val="24"/>
          <w:szCs w:val="24"/>
        </w:rPr>
      </w:pPr>
    </w:p>
    <w:p w14:paraId="3EF8CBCE" w14:textId="0E64568B" w:rsidR="00282A5E" w:rsidRPr="00FF31CD" w:rsidRDefault="00BD6D50" w:rsidP="00E44FDF">
      <w:pPr>
        <w:rPr>
          <w:rFonts w:ascii="Calibri" w:hAnsi="Calibri" w:cs="Calibri"/>
          <w:b/>
          <w:bCs/>
          <w:sz w:val="24"/>
          <w:szCs w:val="24"/>
        </w:rPr>
      </w:pPr>
      <w:r w:rsidRPr="00FF31CD">
        <w:rPr>
          <w:rFonts w:ascii="Calibri" w:hAnsi="Calibri" w:cs="Calibri"/>
          <w:b/>
          <w:bCs/>
          <w:sz w:val="24"/>
          <w:szCs w:val="24"/>
        </w:rPr>
        <w:t>Federal Jurisdiction</w:t>
      </w:r>
    </w:p>
    <w:p w14:paraId="6161D046" w14:textId="7F7C0D69" w:rsidR="00BD6D50" w:rsidRPr="00FF31CD" w:rsidRDefault="002330E6" w:rsidP="008F0555">
      <w:pPr>
        <w:pStyle w:val="ListParagraph"/>
        <w:numPr>
          <w:ilvl w:val="0"/>
          <w:numId w:val="1"/>
        </w:numPr>
        <w:rPr>
          <w:rFonts w:ascii="Calibri" w:hAnsi="Calibri" w:cs="Calibri"/>
          <w:sz w:val="22"/>
        </w:rPr>
      </w:pPr>
      <w:r w:rsidRPr="00FF31CD">
        <w:rPr>
          <w:rFonts w:ascii="Calibri" w:hAnsi="Calibri" w:cs="Calibri"/>
          <w:b/>
          <w:bCs/>
          <w:szCs w:val="24"/>
        </w:rPr>
        <w:t>Cunningham v. Marriott International, Inc., et al,</w:t>
      </w:r>
      <w:r w:rsidRPr="00FF31CD">
        <w:rPr>
          <w:rFonts w:ascii="Calibri" w:hAnsi="Calibri" w:cs="Calibri"/>
          <w:b/>
          <w:bCs/>
          <w:sz w:val="22"/>
        </w:rPr>
        <w:t xml:space="preserve"> </w:t>
      </w:r>
      <w:r w:rsidRPr="00FF31CD">
        <w:rPr>
          <w:rFonts w:ascii="Calibri" w:hAnsi="Calibri" w:cs="Calibri"/>
          <w:sz w:val="22"/>
        </w:rPr>
        <w:t>No. 24-477, U.S. District Court, E.D. LA (05/08/</w:t>
      </w:r>
      <w:r w:rsidR="00633EA5" w:rsidRPr="00FF31CD">
        <w:rPr>
          <w:rFonts w:ascii="Calibri" w:hAnsi="Calibri" w:cs="Calibri"/>
          <w:sz w:val="22"/>
        </w:rPr>
        <w:t>2024</w:t>
      </w:r>
      <w:r w:rsidRPr="00FF31CD">
        <w:rPr>
          <w:rFonts w:ascii="Calibri" w:hAnsi="Calibri" w:cs="Calibri"/>
          <w:sz w:val="22"/>
        </w:rPr>
        <w:t xml:space="preserve">). </w:t>
      </w:r>
      <w:r w:rsidR="000945B0" w:rsidRPr="00FF31CD">
        <w:rPr>
          <w:rFonts w:ascii="Calibri" w:hAnsi="Calibri" w:cs="Calibri"/>
          <w:sz w:val="22"/>
        </w:rPr>
        <w:t>In this case, Edith Cunningham brought a lawsuit against Marriott International, Inc., Chartis Specialty Insurance Company, and Sheraton LLC after she tripped and fell on an electrical outlet at the Sheraton Hotel in downtown New Orleans, resulting in bodily injury. Cunningham initially filed the lawsuit in the Civil District Court for the Parish of Orleans, State of Louisiana. The defendants removed the case to the United States District Court for the Eastern District of Louisiana, asserting diversity jurisdiction under federal law. They argued that the amount in controversy exceeded $75,000, a requirement for diversity jurisdiction. Cunningham filed a Motion to Remand, asserting that her claims did not meet the jurisdictional threshold. The defendants failed to prove that the amount in controversy exceeded $75,000. The court found that the defendants' arguments, including Cunningham's failure to stipulate that her damages did not exceed $75,000 and her post-removal denial of damages exceeding $75,000, were insufficient to establish jurisdiction. Additionally, the court determined that the defendants did not provide enough detail about Cunningham's injuries and damages to meet their burden of proof. Therefore, the court granted Cunningham's Motion to Remand and remanded the case to the state court for further proceedings.</w:t>
      </w:r>
    </w:p>
    <w:p w14:paraId="2B20C36C" w14:textId="77777777" w:rsidR="00BF3EBF" w:rsidRPr="00FF31CD" w:rsidRDefault="00BF3EBF" w:rsidP="00BF3EBF">
      <w:pPr>
        <w:pStyle w:val="ListParagraph"/>
        <w:ind w:firstLine="0"/>
        <w:rPr>
          <w:rFonts w:ascii="Calibri" w:hAnsi="Calibri" w:cs="Calibri"/>
          <w:sz w:val="22"/>
        </w:rPr>
      </w:pPr>
    </w:p>
    <w:p w14:paraId="13168401" w14:textId="0C65ED32" w:rsidR="003C0968" w:rsidRPr="00FF31CD" w:rsidRDefault="003C0968">
      <w:pPr>
        <w:rPr>
          <w:rFonts w:ascii="Calibri" w:hAnsi="Calibri" w:cs="Calibri"/>
          <w:b/>
          <w:bCs/>
          <w:sz w:val="24"/>
          <w:szCs w:val="24"/>
        </w:rPr>
      </w:pPr>
      <w:r w:rsidRPr="00FF31CD">
        <w:rPr>
          <w:rFonts w:ascii="Calibri" w:hAnsi="Calibri" w:cs="Calibri"/>
          <w:b/>
          <w:bCs/>
          <w:sz w:val="24"/>
          <w:szCs w:val="24"/>
        </w:rPr>
        <w:t>Forum Non Conveniens</w:t>
      </w:r>
    </w:p>
    <w:p w14:paraId="343E13AD" w14:textId="1FB3C038" w:rsidR="00A25E72" w:rsidRPr="00FF31CD" w:rsidRDefault="00247920" w:rsidP="00FE3933">
      <w:pPr>
        <w:pStyle w:val="ListParagraph"/>
        <w:numPr>
          <w:ilvl w:val="0"/>
          <w:numId w:val="1"/>
        </w:numPr>
        <w:rPr>
          <w:rFonts w:ascii="Calibri" w:hAnsi="Calibri" w:cs="Calibri"/>
          <w:sz w:val="22"/>
        </w:rPr>
      </w:pPr>
      <w:r w:rsidRPr="00FF31CD">
        <w:rPr>
          <w:rFonts w:ascii="Calibri" w:hAnsi="Calibri" w:cs="Calibri"/>
          <w:b/>
          <w:bCs/>
          <w:sz w:val="22"/>
        </w:rPr>
        <w:t xml:space="preserve">Tennaro-Messina v. Marriott International, Inc., </w:t>
      </w:r>
      <w:r w:rsidR="001D1038" w:rsidRPr="00FF31CD">
        <w:rPr>
          <w:rFonts w:ascii="Calibri" w:hAnsi="Calibri" w:cs="Calibri"/>
          <w:sz w:val="22"/>
        </w:rPr>
        <w:t>No. 23-20852 U.S. Dist. Ct. D. N. J. (06/20/2024).</w:t>
      </w:r>
      <w:r w:rsidR="002322E8" w:rsidRPr="00FF31CD">
        <w:rPr>
          <w:rFonts w:ascii="Calibri" w:eastAsia="Times New Roman" w:hAnsi="Calibri" w:cs="Calibri"/>
          <w:sz w:val="22"/>
        </w:rPr>
        <w:t xml:space="preserve"> </w:t>
      </w:r>
      <w:r w:rsidR="005F0049" w:rsidRPr="00FF31CD">
        <w:rPr>
          <w:rFonts w:ascii="Calibri" w:eastAsia="Times New Roman" w:hAnsi="Calibri" w:cs="Calibri"/>
          <w:sz w:val="22"/>
        </w:rPr>
        <w:t>The plaintiff</w:t>
      </w:r>
      <w:r w:rsidR="002322E8" w:rsidRPr="00FF31CD">
        <w:rPr>
          <w:rFonts w:ascii="Calibri" w:hAnsi="Calibri" w:cs="Calibri"/>
          <w:sz w:val="22"/>
        </w:rPr>
        <w:t xml:space="preserve"> filed a personal injury and premises liability lawsuit after she allegedly slipped and fell in the lobby of the W Fort Lauderdale hotel in Florida. </w:t>
      </w:r>
      <w:r w:rsidR="005F0049" w:rsidRPr="00FF31CD">
        <w:rPr>
          <w:rFonts w:ascii="Calibri" w:hAnsi="Calibri" w:cs="Calibri"/>
          <w:sz w:val="22"/>
        </w:rPr>
        <w:t>The plaintiff,</w:t>
      </w:r>
      <w:r w:rsidR="002322E8" w:rsidRPr="00FF31CD">
        <w:rPr>
          <w:rFonts w:ascii="Calibri" w:hAnsi="Calibri" w:cs="Calibri"/>
          <w:sz w:val="22"/>
        </w:rPr>
        <w:t xml:space="preserve"> a New Jersey resident, claimed to have suffered severe injuries due to the hotel's negligence. The case was initially filed in New Jersey, but the defendant, W Hotel Management, Inc., moved to transfer the venue to the Southern District of Florida, arguing that the incident and key witnesses were all located in Florida. </w:t>
      </w:r>
      <w:r w:rsidR="005F0049" w:rsidRPr="00FF31CD">
        <w:rPr>
          <w:rFonts w:ascii="Calibri" w:hAnsi="Calibri" w:cs="Calibri"/>
          <w:sz w:val="22"/>
        </w:rPr>
        <w:t>The plaintiff</w:t>
      </w:r>
      <w:r w:rsidR="002322E8" w:rsidRPr="00FF31CD">
        <w:rPr>
          <w:rFonts w:ascii="Calibri" w:hAnsi="Calibri" w:cs="Calibri"/>
          <w:sz w:val="22"/>
        </w:rPr>
        <w:t xml:space="preserve"> opposed the transfer, citing her residence in New Jersey and the location of her medical treatment. However, the court found that the convenience of the parties and witnesses, along with the interests of justice, favored the transfer. The court emphasized that the incident occurred in Florida, and most relevant evidence and witnesses were located there. Additionally, the public interest factors, such as local interest in the case and court congestion in New Jersey, supported the transfer. Therefore, the court granted the motion to transfer the case to the Southern District of Florida.</w:t>
      </w:r>
    </w:p>
    <w:p w14:paraId="2EE45AD6" w14:textId="77777777" w:rsidR="00483906" w:rsidRPr="00FF31CD" w:rsidRDefault="00483906" w:rsidP="00483906">
      <w:pPr>
        <w:pStyle w:val="ListParagraph"/>
        <w:ind w:left="1080" w:firstLine="0"/>
        <w:rPr>
          <w:rFonts w:ascii="Calibri" w:hAnsi="Calibri" w:cs="Calibri"/>
          <w:sz w:val="22"/>
        </w:rPr>
      </w:pPr>
    </w:p>
    <w:p w14:paraId="3CED4046" w14:textId="7A8EB57B" w:rsidR="003B2B74" w:rsidRPr="00FF31CD" w:rsidRDefault="003B2B74">
      <w:pPr>
        <w:rPr>
          <w:rFonts w:ascii="Calibri" w:hAnsi="Calibri" w:cs="Calibri"/>
          <w:b/>
          <w:bCs/>
          <w:sz w:val="24"/>
          <w:szCs w:val="24"/>
        </w:rPr>
      </w:pPr>
      <w:r w:rsidRPr="00FF31CD">
        <w:rPr>
          <w:rFonts w:ascii="Calibri" w:hAnsi="Calibri" w:cs="Calibri"/>
          <w:b/>
          <w:bCs/>
          <w:sz w:val="24"/>
          <w:szCs w:val="24"/>
        </w:rPr>
        <w:lastRenderedPageBreak/>
        <w:t>Franchis</w:t>
      </w:r>
      <w:r w:rsidR="009614FF" w:rsidRPr="00FF31CD">
        <w:rPr>
          <w:rFonts w:ascii="Calibri" w:hAnsi="Calibri" w:cs="Calibri"/>
          <w:b/>
          <w:bCs/>
          <w:sz w:val="24"/>
          <w:szCs w:val="24"/>
        </w:rPr>
        <w:t>e Agreement</w:t>
      </w:r>
      <w:r w:rsidR="00CB04BD" w:rsidRPr="00FF31CD">
        <w:rPr>
          <w:rFonts w:ascii="Calibri" w:hAnsi="Calibri" w:cs="Calibri"/>
          <w:b/>
          <w:bCs/>
          <w:sz w:val="24"/>
          <w:szCs w:val="24"/>
        </w:rPr>
        <w:t>s</w:t>
      </w:r>
    </w:p>
    <w:p w14:paraId="56F8FD98" w14:textId="3F7420DF" w:rsidR="009614FF" w:rsidRPr="00FF31CD" w:rsidRDefault="009614FF" w:rsidP="008F0555">
      <w:pPr>
        <w:pStyle w:val="ListParagraph"/>
        <w:numPr>
          <w:ilvl w:val="0"/>
          <w:numId w:val="1"/>
        </w:numPr>
        <w:rPr>
          <w:rFonts w:ascii="Calibri" w:hAnsi="Calibri" w:cs="Calibri"/>
          <w:sz w:val="22"/>
        </w:rPr>
      </w:pPr>
      <w:r w:rsidRPr="00FF31CD">
        <w:rPr>
          <w:rFonts w:ascii="Calibri" w:hAnsi="Calibri" w:cs="Calibri"/>
          <w:b/>
          <w:bCs/>
          <w:sz w:val="22"/>
        </w:rPr>
        <w:t>Try</w:t>
      </w:r>
      <w:r w:rsidR="00536A1A" w:rsidRPr="00FF31CD">
        <w:rPr>
          <w:rFonts w:ascii="Calibri" w:hAnsi="Calibri" w:cs="Calibri"/>
          <w:b/>
          <w:bCs/>
          <w:sz w:val="22"/>
        </w:rPr>
        <w:t>p Hotels Worldwide, Inc. v. Sebastian Hotel, LLC</w:t>
      </w:r>
      <w:r w:rsidR="00536A1A" w:rsidRPr="00FF31CD">
        <w:rPr>
          <w:rFonts w:ascii="Calibri" w:hAnsi="Calibri" w:cs="Calibri"/>
          <w:sz w:val="22"/>
        </w:rPr>
        <w:t>, No. 21-11557 (MEF)(JSA) U.S. District Court, D. New Jersey (03</w:t>
      </w:r>
      <w:r w:rsidR="00341075" w:rsidRPr="00FF31CD">
        <w:rPr>
          <w:rFonts w:ascii="Calibri" w:hAnsi="Calibri" w:cs="Calibri"/>
          <w:sz w:val="22"/>
        </w:rPr>
        <w:t>/28/</w:t>
      </w:r>
      <w:r w:rsidR="00633EA5" w:rsidRPr="00FF31CD">
        <w:rPr>
          <w:rFonts w:ascii="Calibri" w:hAnsi="Calibri" w:cs="Calibri"/>
          <w:sz w:val="22"/>
        </w:rPr>
        <w:t>2024</w:t>
      </w:r>
      <w:r w:rsidR="00341075" w:rsidRPr="00FF31CD">
        <w:rPr>
          <w:rFonts w:ascii="Calibri" w:hAnsi="Calibri" w:cs="Calibri"/>
          <w:sz w:val="22"/>
        </w:rPr>
        <w:t xml:space="preserve">). </w:t>
      </w:r>
      <w:r w:rsidR="00875576" w:rsidRPr="00FF31CD">
        <w:rPr>
          <w:rFonts w:ascii="Calibri" w:hAnsi="Calibri" w:cs="Calibri"/>
          <w:sz w:val="22"/>
        </w:rPr>
        <w:t xml:space="preserve">During late 2016, </w:t>
      </w:r>
      <w:r w:rsidR="001A0990" w:rsidRPr="00FF31CD">
        <w:rPr>
          <w:rFonts w:ascii="Calibri" w:hAnsi="Calibri" w:cs="Calibri"/>
          <w:sz w:val="22"/>
        </w:rPr>
        <w:t>a franchisor</w:t>
      </w:r>
      <w:r w:rsidR="00B35C14" w:rsidRPr="00FF31CD">
        <w:rPr>
          <w:rFonts w:ascii="Calibri" w:hAnsi="Calibri" w:cs="Calibri"/>
          <w:sz w:val="22"/>
        </w:rPr>
        <w:t xml:space="preserve">, </w:t>
      </w:r>
      <w:r w:rsidR="00CF2C6B" w:rsidRPr="00FF31CD">
        <w:rPr>
          <w:rFonts w:ascii="Calibri" w:hAnsi="Calibri" w:cs="Calibri"/>
          <w:sz w:val="22"/>
        </w:rPr>
        <w:t xml:space="preserve">the </w:t>
      </w:r>
      <w:r w:rsidR="00B35C14" w:rsidRPr="00FF31CD">
        <w:rPr>
          <w:rFonts w:ascii="Calibri" w:hAnsi="Calibri" w:cs="Calibri"/>
          <w:sz w:val="22"/>
        </w:rPr>
        <w:t>plaintiff,</w:t>
      </w:r>
      <w:r w:rsidR="001A0990" w:rsidRPr="00FF31CD">
        <w:rPr>
          <w:rFonts w:ascii="Calibri" w:hAnsi="Calibri" w:cs="Calibri"/>
          <w:sz w:val="22"/>
        </w:rPr>
        <w:t xml:space="preserve"> and a hotel owner</w:t>
      </w:r>
      <w:r w:rsidR="00E164EF" w:rsidRPr="00FF31CD">
        <w:rPr>
          <w:rFonts w:ascii="Calibri" w:hAnsi="Calibri" w:cs="Calibri"/>
          <w:sz w:val="22"/>
        </w:rPr>
        <w:t>, Sebastian the defendant,</w:t>
      </w:r>
      <w:r w:rsidR="001A0990" w:rsidRPr="00FF31CD">
        <w:rPr>
          <w:rFonts w:ascii="Calibri" w:hAnsi="Calibri" w:cs="Calibri"/>
          <w:sz w:val="22"/>
        </w:rPr>
        <w:t xml:space="preserve"> entered int</w:t>
      </w:r>
      <w:r w:rsidR="00E164EF" w:rsidRPr="00FF31CD">
        <w:rPr>
          <w:rFonts w:ascii="Calibri" w:hAnsi="Calibri" w:cs="Calibri"/>
          <w:sz w:val="22"/>
        </w:rPr>
        <w:t>o</w:t>
      </w:r>
      <w:r w:rsidR="001A0990" w:rsidRPr="00FF31CD">
        <w:rPr>
          <w:rFonts w:ascii="Calibri" w:hAnsi="Calibri" w:cs="Calibri"/>
          <w:sz w:val="22"/>
        </w:rPr>
        <w:t xml:space="preserve"> two agreements, a franchise agreement</w:t>
      </w:r>
      <w:r w:rsidR="00FB5DC2" w:rsidRPr="00FF31CD">
        <w:rPr>
          <w:rFonts w:ascii="Calibri" w:hAnsi="Calibri" w:cs="Calibri"/>
          <w:sz w:val="22"/>
        </w:rPr>
        <w:t xml:space="preserve">, with a guaranty and a note. </w:t>
      </w:r>
      <w:r w:rsidR="00F036D1" w:rsidRPr="00FF31CD">
        <w:rPr>
          <w:rFonts w:ascii="Calibri" w:hAnsi="Calibri" w:cs="Calibri"/>
          <w:sz w:val="22"/>
        </w:rPr>
        <w:t>In 2016, the hotel owner terminate</w:t>
      </w:r>
      <w:r w:rsidR="00BC7D6B" w:rsidRPr="00FF31CD">
        <w:rPr>
          <w:rFonts w:ascii="Calibri" w:hAnsi="Calibri" w:cs="Calibri"/>
          <w:sz w:val="22"/>
        </w:rPr>
        <w:t>d</w:t>
      </w:r>
      <w:r w:rsidR="00F036D1" w:rsidRPr="00FF31CD">
        <w:rPr>
          <w:rFonts w:ascii="Calibri" w:hAnsi="Calibri" w:cs="Calibri"/>
          <w:sz w:val="22"/>
        </w:rPr>
        <w:t xml:space="preserve"> the franchise agreement. The fra</w:t>
      </w:r>
      <w:r w:rsidR="007B0D90" w:rsidRPr="00FF31CD">
        <w:rPr>
          <w:rFonts w:ascii="Calibri" w:hAnsi="Calibri" w:cs="Calibri"/>
          <w:sz w:val="22"/>
        </w:rPr>
        <w:t>nchisor sued the hotel owner and the guarantor. In defendant’s counterclaim, they argue that the franchise agreement was void as a result of wrongful inducement</w:t>
      </w:r>
      <w:r w:rsidR="002F4567" w:rsidRPr="00FF31CD">
        <w:rPr>
          <w:rFonts w:ascii="Calibri" w:hAnsi="Calibri" w:cs="Calibri"/>
          <w:sz w:val="22"/>
        </w:rPr>
        <w:t xml:space="preserve"> and that the plaintiff breached the agreement first. </w:t>
      </w:r>
      <w:r w:rsidR="00847580" w:rsidRPr="00FF31CD">
        <w:rPr>
          <w:rFonts w:ascii="Calibri" w:hAnsi="Calibri" w:cs="Calibri"/>
          <w:sz w:val="22"/>
        </w:rPr>
        <w:t>Sebastian claimed the misrepresentations included that the Franchisor’s employees suggested the bra</w:t>
      </w:r>
      <w:r w:rsidR="009C70BD" w:rsidRPr="00FF31CD">
        <w:rPr>
          <w:rFonts w:ascii="Calibri" w:hAnsi="Calibri" w:cs="Calibri"/>
          <w:sz w:val="22"/>
        </w:rPr>
        <w:t>n</w:t>
      </w:r>
      <w:r w:rsidR="00847580" w:rsidRPr="00FF31CD">
        <w:rPr>
          <w:rFonts w:ascii="Calibri" w:hAnsi="Calibri" w:cs="Calibri"/>
          <w:sz w:val="22"/>
        </w:rPr>
        <w:t>d would be a good “fit”</w:t>
      </w:r>
      <w:r w:rsidR="009C70BD" w:rsidRPr="00FF31CD">
        <w:rPr>
          <w:rFonts w:ascii="Calibri" w:hAnsi="Calibri" w:cs="Calibri"/>
          <w:sz w:val="22"/>
        </w:rPr>
        <w:t xml:space="preserve"> even though the employee knew it wasn’t. </w:t>
      </w:r>
      <w:r w:rsidR="006513E0" w:rsidRPr="00FF31CD">
        <w:rPr>
          <w:rFonts w:ascii="Calibri" w:hAnsi="Calibri" w:cs="Calibri"/>
          <w:sz w:val="22"/>
        </w:rPr>
        <w:t xml:space="preserve">Sebastian </w:t>
      </w:r>
      <w:r w:rsidR="007D4147" w:rsidRPr="00FF31CD">
        <w:rPr>
          <w:rFonts w:ascii="Calibri" w:hAnsi="Calibri" w:cs="Calibri"/>
          <w:sz w:val="22"/>
        </w:rPr>
        <w:t>also</w:t>
      </w:r>
      <w:r w:rsidR="006513E0" w:rsidRPr="00FF31CD">
        <w:rPr>
          <w:rFonts w:ascii="Calibri" w:hAnsi="Calibri" w:cs="Calibri"/>
          <w:sz w:val="22"/>
        </w:rPr>
        <w:t xml:space="preserve"> argued that the Franchisor said the brand would </w:t>
      </w:r>
      <w:r w:rsidR="007D4147" w:rsidRPr="00FF31CD">
        <w:rPr>
          <w:rFonts w:ascii="Calibri" w:hAnsi="Calibri" w:cs="Calibri"/>
          <w:sz w:val="22"/>
        </w:rPr>
        <w:t>gr</w:t>
      </w:r>
      <w:r w:rsidR="006513E0" w:rsidRPr="00FF31CD">
        <w:rPr>
          <w:rFonts w:ascii="Calibri" w:hAnsi="Calibri" w:cs="Calibri"/>
          <w:sz w:val="22"/>
        </w:rPr>
        <w:t>o</w:t>
      </w:r>
      <w:r w:rsidR="007D4147" w:rsidRPr="00FF31CD">
        <w:rPr>
          <w:rFonts w:ascii="Calibri" w:hAnsi="Calibri" w:cs="Calibri"/>
          <w:sz w:val="22"/>
        </w:rPr>
        <w:t>w</w:t>
      </w:r>
      <w:r w:rsidR="006513E0" w:rsidRPr="00FF31CD">
        <w:rPr>
          <w:rFonts w:ascii="Calibri" w:hAnsi="Calibri" w:cs="Calibri"/>
          <w:sz w:val="22"/>
        </w:rPr>
        <w:t>, which was false.</w:t>
      </w:r>
      <w:r w:rsidR="00F73348" w:rsidRPr="00FF31CD">
        <w:rPr>
          <w:rFonts w:ascii="Calibri" w:hAnsi="Calibri" w:cs="Calibri"/>
          <w:sz w:val="22"/>
        </w:rPr>
        <w:t xml:space="preserve"> And Sebastian stated he was induced to enter into the agreement without being provided key information. The court rejected these claims as Sebastian</w:t>
      </w:r>
      <w:r w:rsidR="00AE2AD5" w:rsidRPr="00FF31CD">
        <w:rPr>
          <w:rFonts w:ascii="Calibri" w:hAnsi="Calibri" w:cs="Calibri"/>
          <w:sz w:val="22"/>
        </w:rPr>
        <w:t xml:space="preserve"> did not provide evidence to support the claims</w:t>
      </w:r>
      <w:r w:rsidR="008106E9" w:rsidRPr="00FF31CD">
        <w:rPr>
          <w:rFonts w:ascii="Calibri" w:hAnsi="Calibri" w:cs="Calibri"/>
          <w:sz w:val="22"/>
        </w:rPr>
        <w:t xml:space="preserve"> and that statements about future predictions are generally not misrepresentations.</w:t>
      </w:r>
      <w:r w:rsidR="00AE2AD5" w:rsidRPr="00FF31CD">
        <w:rPr>
          <w:rFonts w:ascii="Calibri" w:hAnsi="Calibri" w:cs="Calibri"/>
          <w:sz w:val="22"/>
        </w:rPr>
        <w:t xml:space="preserve"> The court held that a jury must decide whether </w:t>
      </w:r>
      <w:r w:rsidR="008106E9" w:rsidRPr="00FF31CD">
        <w:rPr>
          <w:rFonts w:ascii="Calibri" w:hAnsi="Calibri" w:cs="Calibri"/>
          <w:sz w:val="22"/>
        </w:rPr>
        <w:t>Tryp breached the agreement first, so the summary judgment was denied.</w:t>
      </w:r>
    </w:p>
    <w:p w14:paraId="27D70CDA" w14:textId="77777777" w:rsidR="002E702F" w:rsidRPr="00FF31CD" w:rsidRDefault="002E702F" w:rsidP="002E702F">
      <w:pPr>
        <w:pStyle w:val="ListParagraph"/>
        <w:ind w:left="1080" w:firstLine="0"/>
        <w:rPr>
          <w:rFonts w:ascii="Calibri" w:hAnsi="Calibri" w:cs="Calibri"/>
          <w:sz w:val="22"/>
        </w:rPr>
      </w:pPr>
    </w:p>
    <w:p w14:paraId="582D8A6B" w14:textId="77777777" w:rsidR="00CB04BD" w:rsidRPr="00FF31CD" w:rsidRDefault="00CB04BD" w:rsidP="00CB04BD">
      <w:pPr>
        <w:pStyle w:val="ListParagraph"/>
        <w:numPr>
          <w:ilvl w:val="0"/>
          <w:numId w:val="1"/>
        </w:numPr>
        <w:rPr>
          <w:rFonts w:ascii="Calibri" w:hAnsi="Calibri" w:cs="Calibri"/>
          <w:sz w:val="22"/>
        </w:rPr>
      </w:pPr>
      <w:r w:rsidRPr="00FF31CD">
        <w:rPr>
          <w:rFonts w:ascii="Calibri" w:hAnsi="Calibri" w:cs="Calibri"/>
          <w:b/>
          <w:bCs/>
          <w:sz w:val="22"/>
        </w:rPr>
        <w:t>Oakland Family Restaurants v. American Dairy Queen Corp.,</w:t>
      </w:r>
      <w:r w:rsidRPr="00FF31CD">
        <w:rPr>
          <w:rFonts w:ascii="Calibri" w:hAnsi="Calibri" w:cs="Calibri"/>
          <w:sz w:val="22"/>
        </w:rPr>
        <w:t xml:space="preserve"> 2025 WL 789555 (6th Cir., 3/12/2025.  Plaintiff operates 12 Dairy Queen franchises and wants to reward longtime loyal employees by assigning franchise rights to them.  The original franchise contract provided that the franchisee could not assign the agreement without first obtaining the written consent of defendant franchisor.  The latter conditioned its consent on the new owners signing updated franchise agreements which were less favorable to franchisees than the original contract signed by plaintiff.  He sued for breach of contract and declaratory relief.  Defendant explained its reasoning for requiring all new franchisees to sign an updated agreement is to “modernize its franchisees to adjust to the changed legal, technological, and competitive landscapes, and to create brand consistency.”   The district court ruled that Dairy Queen had good cause to withhold consent, and held it in defendant’s favor.  On appeal, the court found the mandate of franchisor approval was clear, and Dairy Queen had good cause to require that new franchisees sign an updated franchise agreement.  Said the court, “The [original] Agreement is inadequate and not suitable for operating a global franchise in 2025.”   The court thus affirmed the judgment in favor of defendant.</w:t>
      </w:r>
    </w:p>
    <w:p w14:paraId="6C2F03E4" w14:textId="7641DFA4" w:rsidR="00CB04BD" w:rsidRPr="00FF31CD" w:rsidRDefault="00CB04BD" w:rsidP="00CB04BD">
      <w:pPr>
        <w:pStyle w:val="ListParagraph"/>
        <w:ind w:left="1080" w:firstLine="0"/>
        <w:rPr>
          <w:rFonts w:ascii="Calibri" w:hAnsi="Calibri" w:cs="Calibri"/>
          <w:sz w:val="22"/>
        </w:rPr>
      </w:pPr>
      <w:r w:rsidRPr="00FF31CD">
        <w:rPr>
          <w:rFonts w:ascii="Calibri" w:hAnsi="Calibri" w:cs="Calibri"/>
          <w:sz w:val="22"/>
        </w:rPr>
        <w:t xml:space="preserve"> </w:t>
      </w:r>
    </w:p>
    <w:p w14:paraId="62B52302" w14:textId="10128FD6" w:rsidR="00CB04BD" w:rsidRPr="00FF31CD" w:rsidRDefault="00CB04BD" w:rsidP="00CB04BD">
      <w:pPr>
        <w:pStyle w:val="ListParagraph"/>
        <w:numPr>
          <w:ilvl w:val="0"/>
          <w:numId w:val="1"/>
        </w:numPr>
        <w:rPr>
          <w:rFonts w:ascii="Calibri" w:hAnsi="Calibri" w:cs="Calibri"/>
          <w:sz w:val="22"/>
        </w:rPr>
      </w:pPr>
      <w:r w:rsidRPr="00FF31CD">
        <w:rPr>
          <w:rFonts w:ascii="Calibri" w:hAnsi="Calibri" w:cs="Calibri"/>
          <w:b/>
          <w:bCs/>
          <w:sz w:val="22"/>
        </w:rPr>
        <w:t>Best Western International, Inc. v. OP Hotel, LLC</w:t>
      </w:r>
      <w:r w:rsidRPr="00FF31CD">
        <w:rPr>
          <w:rFonts w:ascii="Calibri" w:hAnsi="Calibri" w:cs="Calibri"/>
          <w:sz w:val="22"/>
        </w:rPr>
        <w:t xml:space="preserve">, 2024 WL 4347764 (D. AZ, 2024).  Defendant was a franchisee of plaintiff Best Western.  Plaintiff claimed defendant failed to pay an outstanding balance owed, and sued defendant for breach of the Membership [Franchise] Agreement.  Plaintiff obtained a default judgment and sought attorney’s fees pursuant to the agreement.   An award of attorney’s fees must be reasonable in the hourly billing rate and the hours expended.  Concerning the rate, the engagement letter between Best Western and the attorneys set the amount at $275 yet the lawsuit sought $350.  The court awarded a rate of $275.  The attorneys sought reimbursement for 9.3 hours, which the court determined to be consistent with a reasonable and prudent lawyer.   </w:t>
      </w:r>
    </w:p>
    <w:p w14:paraId="5A0CF431" w14:textId="77777777" w:rsidR="00CB04BD" w:rsidRPr="00FF31CD" w:rsidRDefault="00CB04BD" w:rsidP="00CB04BD">
      <w:pPr>
        <w:pStyle w:val="ListParagraph"/>
        <w:ind w:left="1080" w:firstLine="0"/>
        <w:rPr>
          <w:rFonts w:ascii="Calibri" w:hAnsi="Calibri" w:cs="Calibri"/>
          <w:sz w:val="22"/>
        </w:rPr>
      </w:pPr>
    </w:p>
    <w:p w14:paraId="4137E8D3" w14:textId="5FB69569" w:rsidR="002E702F" w:rsidRPr="00FF31CD" w:rsidRDefault="00CB04BD" w:rsidP="00CB04BD">
      <w:pPr>
        <w:pStyle w:val="ListParagraph"/>
        <w:numPr>
          <w:ilvl w:val="0"/>
          <w:numId w:val="1"/>
        </w:numPr>
        <w:rPr>
          <w:rFonts w:ascii="Calibri" w:hAnsi="Calibri" w:cs="Calibri"/>
          <w:sz w:val="22"/>
        </w:rPr>
      </w:pPr>
      <w:r w:rsidRPr="00FF31CD">
        <w:rPr>
          <w:rFonts w:ascii="Calibri" w:hAnsi="Calibri" w:cs="Calibri"/>
          <w:b/>
          <w:bCs/>
          <w:sz w:val="22"/>
        </w:rPr>
        <w:t>Scion Hotels, LLC v. Holiday Hospitality Franchising, LLC,</w:t>
      </w:r>
      <w:r w:rsidRPr="00FF31CD">
        <w:rPr>
          <w:rFonts w:ascii="Calibri" w:hAnsi="Calibri" w:cs="Calibri"/>
          <w:sz w:val="22"/>
        </w:rPr>
        <w:t xml:space="preserve"> 2024 WL 4224580 (D.NJ, 2024).  Defendant franchises Holiday Inn and Holiday Inn Express hotels.  Plaintiff purchased the franchised Holiday Inn hotel near Newark Internation Airport, and executed a contract for the remaining term of the hotel’s franchise agreement which was 22 months.  Before the end of that time period, plaintiff attempted to negotiate a rival franchise agreement with Hilton </w:t>
      </w:r>
      <w:r w:rsidRPr="00FF31CD">
        <w:rPr>
          <w:rFonts w:ascii="Calibri" w:hAnsi="Calibri" w:cs="Calibri"/>
          <w:sz w:val="22"/>
        </w:rPr>
        <w:lastRenderedPageBreak/>
        <w:t>Worldwide, but an agreement was never reached.   Plaintiff sought to renew its Holiday Inn franchise. The New Jersey franchise law prohibits termination without good cause.  Plaintiff sued for wrongful nonrenewal of the Holiday Inn franchise, arguing that good cause did not exist.  The court ruled that plaintiff’s active pursuance of a rival franchise relationship with Hilton demonstrated a lack of substantial compliance with the franchise relationship, thereby constituting good cause for non-renewal.  The court thus granted summary judgment for defendant.</w:t>
      </w:r>
    </w:p>
    <w:p w14:paraId="233F73A9" w14:textId="77777777" w:rsidR="00D44F1C" w:rsidRPr="00FF31CD" w:rsidRDefault="00D44F1C" w:rsidP="00D44F1C">
      <w:pPr>
        <w:pStyle w:val="ListParagraph"/>
        <w:rPr>
          <w:rFonts w:ascii="Calibri" w:hAnsi="Calibri" w:cs="Calibri"/>
          <w:sz w:val="22"/>
        </w:rPr>
      </w:pPr>
    </w:p>
    <w:p w14:paraId="45BDEA00" w14:textId="77777777" w:rsidR="001428E5" w:rsidRPr="00FF31CD" w:rsidRDefault="001428E5" w:rsidP="001428E5">
      <w:pPr>
        <w:pStyle w:val="ListParagraph"/>
        <w:numPr>
          <w:ilvl w:val="0"/>
          <w:numId w:val="1"/>
        </w:numPr>
        <w:rPr>
          <w:rFonts w:ascii="Calibri" w:hAnsi="Calibri" w:cs="Calibri"/>
          <w:sz w:val="22"/>
        </w:rPr>
      </w:pPr>
      <w:r w:rsidRPr="00FF31CD">
        <w:rPr>
          <w:rFonts w:ascii="Calibri" w:hAnsi="Calibri" w:cs="Calibri"/>
          <w:b/>
          <w:bCs/>
          <w:sz w:val="22"/>
        </w:rPr>
        <w:t xml:space="preserve">Days Inn Worldwide, Inc. v. VNS Hotels, Inc., </w:t>
      </w:r>
      <w:r w:rsidRPr="00FF31CD">
        <w:rPr>
          <w:rFonts w:ascii="Calibri" w:hAnsi="Calibri" w:cs="Calibri"/>
          <w:sz w:val="22"/>
        </w:rPr>
        <w:t xml:space="preserve">2025 WL 1040412 (D. NJ 4/8/2025).  Defendant was a licensee of plaintiff Days Inn.  Per the license agreement, defendant was to operate a Days facility for 15 years and pay various fees for royalties and use of plaintiff’s computer programs applications, features and services. Defendant failed to pay various fees totaling 145,328.75.  Plaintiff sued and defendant defaulted.  The court entered a default judgment, finding that plaintiff stated a valid cause of action, there is no evidence that defendant has a valid defense, defendant’s default has obstructed plaintiff’s ability to pursue relief, and the defendant’s answer is almost a year overdue.  </w:t>
      </w:r>
    </w:p>
    <w:p w14:paraId="762A0286" w14:textId="77777777" w:rsidR="001428E5" w:rsidRPr="00FF31CD" w:rsidRDefault="001428E5" w:rsidP="001428E5">
      <w:pPr>
        <w:pStyle w:val="ListParagraph"/>
        <w:rPr>
          <w:rFonts w:ascii="Calibri" w:hAnsi="Calibri" w:cs="Calibri"/>
          <w:sz w:val="22"/>
        </w:rPr>
      </w:pPr>
    </w:p>
    <w:p w14:paraId="2633909C" w14:textId="055A22C1" w:rsidR="00D44F1C" w:rsidRPr="009F1C51" w:rsidRDefault="001428E5" w:rsidP="001428E5">
      <w:pPr>
        <w:pStyle w:val="ListParagraph"/>
        <w:numPr>
          <w:ilvl w:val="0"/>
          <w:numId w:val="1"/>
        </w:numPr>
        <w:rPr>
          <w:rFonts w:ascii="Calibri" w:hAnsi="Calibri" w:cs="Calibri"/>
          <w:sz w:val="22"/>
        </w:rPr>
      </w:pPr>
      <w:r w:rsidRPr="00FF31CD">
        <w:rPr>
          <w:rFonts w:ascii="Calibri" w:hAnsi="Calibri" w:cs="Calibri"/>
          <w:b/>
          <w:bCs/>
          <w:sz w:val="22"/>
        </w:rPr>
        <w:t>Covington v. Dickey’s Barbecue Restaurant, Inc.,</w:t>
      </w:r>
      <w:r w:rsidRPr="00FF31CD">
        <w:rPr>
          <w:rFonts w:ascii="Calibri" w:hAnsi="Calibri" w:cs="Calibri"/>
        </w:rPr>
        <w:t xml:space="preserve"> </w:t>
      </w:r>
      <w:r w:rsidRPr="009F1C51">
        <w:rPr>
          <w:rFonts w:ascii="Calibri" w:hAnsi="Calibri" w:cs="Calibri"/>
          <w:sz w:val="22"/>
        </w:rPr>
        <w:t>2025 WL 875487 (N.D. TX, 2025).  Plaintiff is a franchisee of defendant.  The franchise agreement included a jury trial waiver.  Issues developed between the parties and the franchisee sued.  Prior to trial plaintiff made a jury demand.  The franchisor filed a motion resisting a  jury trial based on the contractual waiver  The court determined that the waiver was made knowingly and voluntarily, and its placement in the contract was conspicuous. Further, its terms were unambiguous.  Therefore, the court denied the plaintiff’s jury demand.</w:t>
      </w:r>
    </w:p>
    <w:p w14:paraId="05BF75AD" w14:textId="77777777" w:rsidR="00483906" w:rsidRPr="00FF31CD" w:rsidRDefault="00483906" w:rsidP="00483906">
      <w:pPr>
        <w:pStyle w:val="ListParagraph"/>
        <w:ind w:left="1080" w:firstLine="0"/>
        <w:rPr>
          <w:rFonts w:ascii="Calibri" w:hAnsi="Calibri" w:cs="Calibri"/>
          <w:sz w:val="22"/>
        </w:rPr>
      </w:pPr>
    </w:p>
    <w:p w14:paraId="787D94E6" w14:textId="24E842B3" w:rsidR="00241F6D" w:rsidRPr="00FF31CD" w:rsidRDefault="00EC3303">
      <w:pPr>
        <w:rPr>
          <w:rFonts w:ascii="Calibri" w:hAnsi="Calibri" w:cs="Calibri"/>
          <w:b/>
          <w:bCs/>
          <w:sz w:val="24"/>
          <w:szCs w:val="24"/>
        </w:rPr>
      </w:pPr>
      <w:r w:rsidRPr="00FF31CD">
        <w:rPr>
          <w:rFonts w:ascii="Calibri" w:hAnsi="Calibri" w:cs="Calibri"/>
          <w:b/>
          <w:bCs/>
          <w:sz w:val="24"/>
          <w:szCs w:val="24"/>
        </w:rPr>
        <w:t>Insurance</w:t>
      </w:r>
    </w:p>
    <w:p w14:paraId="23878206" w14:textId="1BF540E3" w:rsidR="008E5BD5" w:rsidRPr="00FF31CD" w:rsidRDefault="00970639" w:rsidP="008F0555">
      <w:pPr>
        <w:pStyle w:val="ListParagraph"/>
        <w:numPr>
          <w:ilvl w:val="0"/>
          <w:numId w:val="1"/>
        </w:numPr>
        <w:rPr>
          <w:rFonts w:ascii="Calibri" w:hAnsi="Calibri" w:cs="Calibri"/>
          <w:b/>
          <w:bCs/>
          <w:sz w:val="22"/>
        </w:rPr>
      </w:pPr>
      <w:r w:rsidRPr="00FF31CD">
        <w:rPr>
          <w:rFonts w:ascii="Calibri" w:hAnsi="Calibri" w:cs="Calibri"/>
          <w:b/>
          <w:bCs/>
          <w:sz w:val="22"/>
        </w:rPr>
        <w:t>Covington Specialty Insurance Company v. Sweet Soul, Inc</w:t>
      </w:r>
      <w:r w:rsidRPr="00FF31CD">
        <w:rPr>
          <w:rFonts w:ascii="Calibri" w:hAnsi="Calibri" w:cs="Calibri"/>
          <w:sz w:val="22"/>
        </w:rPr>
        <w:t>. No. 23-1480 U.S. Ct. of Appls, 6</w:t>
      </w:r>
      <w:r w:rsidRPr="00FF31CD">
        <w:rPr>
          <w:rFonts w:ascii="Calibri" w:hAnsi="Calibri" w:cs="Calibri"/>
          <w:sz w:val="22"/>
          <w:vertAlign w:val="superscript"/>
        </w:rPr>
        <w:t>th</w:t>
      </w:r>
      <w:r w:rsidRPr="00FF31CD">
        <w:rPr>
          <w:rFonts w:ascii="Calibri" w:hAnsi="Calibri" w:cs="Calibri"/>
          <w:sz w:val="22"/>
        </w:rPr>
        <w:t xml:space="preserve"> Circuit (05/08/</w:t>
      </w:r>
      <w:r w:rsidR="00633EA5" w:rsidRPr="00FF31CD">
        <w:rPr>
          <w:rFonts w:ascii="Calibri" w:hAnsi="Calibri" w:cs="Calibri"/>
          <w:sz w:val="22"/>
        </w:rPr>
        <w:t>2024</w:t>
      </w:r>
      <w:r w:rsidRPr="00FF31CD">
        <w:rPr>
          <w:rFonts w:ascii="Calibri" w:hAnsi="Calibri" w:cs="Calibri"/>
          <w:sz w:val="22"/>
        </w:rPr>
        <w:t xml:space="preserve">).  </w:t>
      </w:r>
      <w:r w:rsidR="003E64B2" w:rsidRPr="00FF31CD">
        <w:rPr>
          <w:rFonts w:ascii="Calibri" w:hAnsi="Calibri" w:cs="Calibri"/>
          <w:color w:val="0D0D0D"/>
          <w:sz w:val="22"/>
          <w:shd w:val="clear" w:color="auto" w:fill="FFFFFF"/>
        </w:rPr>
        <w:t>Covington Specialty Insurance Company sued Sweet Soul Bistro seeking a declaration that it had no obligation to defend or indemnify Sweet Soul in a lawsuit brought by the estate of a victim shot outside the restaurant. The district court ruled in favor of Covington based on an assault and battery exclusion in Sweet Soul's insurance policy. However, Covington lacked standing to pursue the duty to defend claim against the estate. The court vacated that part of the order and remanded for dismissal of the claim against the estate. Covington did have standing for its duty to indemnify claim against the estate, and the court affirmed the district court's ruling that the assault and battery exclusion barred coverage for the estate's lawsuit.</w:t>
      </w:r>
    </w:p>
    <w:p w14:paraId="1D479D45" w14:textId="77777777" w:rsidR="00FC1365" w:rsidRPr="00FF31CD" w:rsidRDefault="00FC1365" w:rsidP="00FC1365">
      <w:pPr>
        <w:pStyle w:val="ListParagraph"/>
        <w:ind w:firstLine="0"/>
        <w:rPr>
          <w:rFonts w:ascii="Calibri" w:hAnsi="Calibri" w:cs="Calibri"/>
          <w:b/>
          <w:bCs/>
          <w:sz w:val="22"/>
        </w:rPr>
      </w:pPr>
    </w:p>
    <w:p w14:paraId="05468E62" w14:textId="6776CCD7" w:rsidR="0016127C" w:rsidRPr="00FF31CD" w:rsidRDefault="0016127C" w:rsidP="008F0555">
      <w:pPr>
        <w:pStyle w:val="ListParagraph"/>
        <w:numPr>
          <w:ilvl w:val="0"/>
          <w:numId w:val="1"/>
        </w:numPr>
        <w:rPr>
          <w:rFonts w:ascii="Calibri" w:hAnsi="Calibri" w:cs="Calibri"/>
          <w:sz w:val="22"/>
        </w:rPr>
      </w:pPr>
      <w:r w:rsidRPr="00FF31CD">
        <w:rPr>
          <w:rFonts w:ascii="Calibri" w:hAnsi="Calibri" w:cs="Calibri"/>
          <w:b/>
          <w:bCs/>
          <w:sz w:val="22"/>
        </w:rPr>
        <w:t xml:space="preserve">Interstate Restoration, LLC. </w:t>
      </w:r>
      <w:r w:rsidR="0020549B" w:rsidRPr="00FF31CD">
        <w:rPr>
          <w:rFonts w:ascii="Calibri" w:hAnsi="Calibri" w:cs="Calibri"/>
          <w:b/>
          <w:bCs/>
          <w:sz w:val="22"/>
        </w:rPr>
        <w:t>v</w:t>
      </w:r>
      <w:r w:rsidRPr="00FF31CD">
        <w:rPr>
          <w:rFonts w:ascii="Calibri" w:hAnsi="Calibri" w:cs="Calibri"/>
          <w:b/>
          <w:bCs/>
          <w:sz w:val="22"/>
        </w:rPr>
        <w:t>. Zu</w:t>
      </w:r>
      <w:r w:rsidR="00FC1365" w:rsidRPr="00FF31CD">
        <w:rPr>
          <w:rFonts w:ascii="Calibri" w:hAnsi="Calibri" w:cs="Calibri"/>
          <w:b/>
          <w:bCs/>
          <w:sz w:val="22"/>
        </w:rPr>
        <w:t>r</w:t>
      </w:r>
      <w:r w:rsidRPr="00FF31CD">
        <w:rPr>
          <w:rFonts w:ascii="Calibri" w:hAnsi="Calibri" w:cs="Calibri"/>
          <w:b/>
          <w:bCs/>
          <w:sz w:val="22"/>
        </w:rPr>
        <w:t>ich Am</w:t>
      </w:r>
      <w:r w:rsidR="00FC1365" w:rsidRPr="00FF31CD">
        <w:rPr>
          <w:rFonts w:ascii="Calibri" w:hAnsi="Calibri" w:cs="Calibri"/>
          <w:b/>
          <w:bCs/>
          <w:sz w:val="22"/>
        </w:rPr>
        <w:t>e</w:t>
      </w:r>
      <w:r w:rsidRPr="00FF31CD">
        <w:rPr>
          <w:rFonts w:ascii="Calibri" w:hAnsi="Calibri" w:cs="Calibri"/>
          <w:b/>
          <w:bCs/>
          <w:sz w:val="22"/>
        </w:rPr>
        <w:t xml:space="preserve">rican Insurance Co, et al, </w:t>
      </w:r>
      <w:r w:rsidRPr="00FF31CD">
        <w:rPr>
          <w:rFonts w:ascii="Calibri" w:hAnsi="Calibri" w:cs="Calibri"/>
          <w:sz w:val="22"/>
        </w:rPr>
        <w:t>No. 21-cv-</w:t>
      </w:r>
      <w:r w:rsidR="00FC1365" w:rsidRPr="00FF31CD">
        <w:rPr>
          <w:rFonts w:ascii="Calibri" w:hAnsi="Calibri" w:cs="Calibri"/>
          <w:sz w:val="22"/>
        </w:rPr>
        <w:t>01380 NYW-JPO U.S. District Court, D. Colorado (03/05/</w:t>
      </w:r>
      <w:r w:rsidR="00633EA5" w:rsidRPr="00FF31CD">
        <w:rPr>
          <w:rFonts w:ascii="Calibri" w:hAnsi="Calibri" w:cs="Calibri"/>
          <w:sz w:val="22"/>
        </w:rPr>
        <w:t>2024</w:t>
      </w:r>
      <w:r w:rsidR="00FC1365" w:rsidRPr="00FF31CD">
        <w:rPr>
          <w:rFonts w:ascii="Calibri" w:hAnsi="Calibri" w:cs="Calibri"/>
          <w:sz w:val="22"/>
        </w:rPr>
        <w:t xml:space="preserve">). </w:t>
      </w:r>
      <w:r w:rsidR="001A1951" w:rsidRPr="00FF31CD">
        <w:rPr>
          <w:rFonts w:ascii="Calibri" w:hAnsi="Calibri" w:cs="Calibri"/>
          <w:sz w:val="22"/>
        </w:rPr>
        <w:t xml:space="preserve">A subsidiary of </w:t>
      </w:r>
      <w:r w:rsidR="006433ED" w:rsidRPr="00FF31CD">
        <w:rPr>
          <w:rFonts w:ascii="Calibri" w:hAnsi="Calibri" w:cs="Calibri"/>
          <w:sz w:val="22"/>
        </w:rPr>
        <w:t xml:space="preserve">Marriott owns the Sheraton Grand Rio Hotel which suffered a </w:t>
      </w:r>
      <w:r w:rsidR="001A1951" w:rsidRPr="00FF31CD">
        <w:rPr>
          <w:rFonts w:ascii="Calibri" w:hAnsi="Calibri" w:cs="Calibri"/>
          <w:sz w:val="22"/>
        </w:rPr>
        <w:t>mudslide, and the hotel sought relief under an insurance policy held by Zurich American.  Marriott was the named insured.</w:t>
      </w:r>
      <w:r w:rsidR="00033929" w:rsidRPr="00FF31CD">
        <w:rPr>
          <w:rFonts w:ascii="Calibri" w:hAnsi="Calibri" w:cs="Calibri"/>
          <w:sz w:val="22"/>
        </w:rPr>
        <w:t xml:space="preserve"> Interstate was hired by Marriott to perform the repairs as the mudslide caused millions of dollars in damage to the hotel. Interstate performed the repairs</w:t>
      </w:r>
      <w:r w:rsidR="004A08C8" w:rsidRPr="00FF31CD">
        <w:rPr>
          <w:rFonts w:ascii="Calibri" w:hAnsi="Calibri" w:cs="Calibri"/>
          <w:sz w:val="22"/>
        </w:rPr>
        <w:t xml:space="preserve"> pursuant to a work order signed by the general manager of the hotel on behalf of the owner. Interstate filed a </w:t>
      </w:r>
      <w:r w:rsidR="00AD1D1F" w:rsidRPr="00FF31CD">
        <w:rPr>
          <w:rFonts w:ascii="Calibri" w:hAnsi="Calibri" w:cs="Calibri"/>
          <w:sz w:val="22"/>
        </w:rPr>
        <w:t xml:space="preserve">breach of contract </w:t>
      </w:r>
      <w:r w:rsidR="004A08C8" w:rsidRPr="00FF31CD">
        <w:rPr>
          <w:rFonts w:ascii="Calibri" w:hAnsi="Calibri" w:cs="Calibri"/>
          <w:sz w:val="22"/>
        </w:rPr>
        <w:t xml:space="preserve">claim </w:t>
      </w:r>
      <w:r w:rsidR="00AD1D1F" w:rsidRPr="00FF31CD">
        <w:rPr>
          <w:rFonts w:ascii="Calibri" w:hAnsi="Calibri" w:cs="Calibri"/>
          <w:sz w:val="22"/>
        </w:rPr>
        <w:t>against Marriott for recovery of its invoices for the work performed. Interstate also sued Zurich for intentionally interfering with a contract due to Zurich allegedly obstructing payment</w:t>
      </w:r>
      <w:r w:rsidR="00CF4014" w:rsidRPr="00FF31CD">
        <w:rPr>
          <w:rFonts w:ascii="Calibri" w:hAnsi="Calibri" w:cs="Calibri"/>
          <w:sz w:val="22"/>
        </w:rPr>
        <w:t>, which Zurich denies</w:t>
      </w:r>
      <w:r w:rsidR="00AD1D1F" w:rsidRPr="00FF31CD">
        <w:rPr>
          <w:rFonts w:ascii="Calibri" w:hAnsi="Calibri" w:cs="Calibri"/>
          <w:sz w:val="22"/>
        </w:rPr>
        <w:t xml:space="preserve">. </w:t>
      </w:r>
      <w:r w:rsidR="00CF4014" w:rsidRPr="00FF31CD">
        <w:rPr>
          <w:rFonts w:ascii="Calibri" w:hAnsi="Calibri" w:cs="Calibri"/>
          <w:sz w:val="22"/>
        </w:rPr>
        <w:t xml:space="preserve">Marriott argued that the work order did not create a binding </w:t>
      </w:r>
      <w:r w:rsidR="00CF4014" w:rsidRPr="00FF31CD">
        <w:rPr>
          <w:rFonts w:ascii="Calibri" w:hAnsi="Calibri" w:cs="Calibri"/>
          <w:sz w:val="22"/>
        </w:rPr>
        <w:lastRenderedPageBreak/>
        <w:t xml:space="preserve">contract because the owner of the hotel was ambitious on the work order. </w:t>
      </w:r>
      <w:r w:rsidR="00C12B94" w:rsidRPr="00FF31CD">
        <w:rPr>
          <w:rFonts w:ascii="Calibri" w:hAnsi="Calibri" w:cs="Calibri"/>
          <w:sz w:val="22"/>
        </w:rPr>
        <w:t xml:space="preserve">The court found that Interstate believed the contract was with Marriott based on conversations with Marriott representatives. And the contract </w:t>
      </w:r>
      <w:r w:rsidR="00827594" w:rsidRPr="00FF31CD">
        <w:rPr>
          <w:rFonts w:ascii="Calibri" w:hAnsi="Calibri" w:cs="Calibri"/>
          <w:sz w:val="22"/>
        </w:rPr>
        <w:t xml:space="preserve">was binding although the work order did not specify the owner of the hotel’s name. </w:t>
      </w:r>
    </w:p>
    <w:p w14:paraId="7B6BCB2B" w14:textId="77777777" w:rsidR="00331A16" w:rsidRPr="00FF31CD" w:rsidRDefault="00331A16" w:rsidP="00331A16">
      <w:pPr>
        <w:pStyle w:val="ListParagraph"/>
        <w:ind w:left="1080" w:firstLine="0"/>
        <w:rPr>
          <w:rFonts w:ascii="Calibri" w:hAnsi="Calibri" w:cs="Calibri"/>
          <w:sz w:val="22"/>
        </w:rPr>
      </w:pPr>
    </w:p>
    <w:p w14:paraId="3F2228F6" w14:textId="46718265" w:rsidR="00331A16" w:rsidRPr="00FF31CD" w:rsidRDefault="007F4183" w:rsidP="008F0555">
      <w:pPr>
        <w:pStyle w:val="ListParagraph"/>
        <w:numPr>
          <w:ilvl w:val="0"/>
          <w:numId w:val="1"/>
        </w:numPr>
        <w:rPr>
          <w:rFonts w:ascii="Calibri" w:hAnsi="Calibri" w:cs="Calibri"/>
          <w:sz w:val="22"/>
        </w:rPr>
      </w:pPr>
      <w:r w:rsidRPr="00FF31CD">
        <w:rPr>
          <w:rFonts w:ascii="Calibri" w:hAnsi="Calibri" w:cs="Calibri"/>
          <w:b/>
          <w:bCs/>
          <w:sz w:val="22"/>
        </w:rPr>
        <w:t>Brandon Center Hotel v. Mt. Hawley Insurance Co.,</w:t>
      </w:r>
      <w:r w:rsidRPr="00FF31CD">
        <w:rPr>
          <w:rFonts w:ascii="Calibri" w:hAnsi="Calibri" w:cs="Calibri"/>
          <w:sz w:val="22"/>
        </w:rPr>
        <w:t xml:space="preserve"> 2025 WL 415737 (S.D. NY, 2025).  Defendant insured plaintiff hotel.  The hotel submitted a claim for damages allegedly caused by Hurricane Ian on 9/28/2022. Following inspection by an independent adjuster, an engineer, a building consultant, and a roofing consultant, defendant denied the claim on the ground that the damage was not due to the hurricane, but rather wear and tear, defective construction, or lack of maintenance, all of which were excluded from coverage in the insurance contract.  The court encouraged the parties to settle the case without the need for a trial.  Concerning the amount of damages, plaintiff sought its lost business income as well as continuing normal operating expenses resulting from suspension of operations necessitated by the hurricane.  Based on contract language and its interpretation in other contexts, the court ruled that plaintiff would be entitled to lost business income but not continuing normal operating expenses.</w:t>
      </w:r>
    </w:p>
    <w:p w14:paraId="1CDBDC9F" w14:textId="77777777" w:rsidR="003627EC" w:rsidRPr="00FF31CD" w:rsidRDefault="003627EC" w:rsidP="003627EC">
      <w:pPr>
        <w:pStyle w:val="ListParagraph"/>
        <w:ind w:left="1080" w:firstLine="0"/>
        <w:rPr>
          <w:rFonts w:ascii="Calibri" w:hAnsi="Calibri" w:cs="Calibri"/>
          <w:sz w:val="22"/>
        </w:rPr>
      </w:pPr>
    </w:p>
    <w:p w14:paraId="034C829E" w14:textId="0F53EB73" w:rsidR="003F298D" w:rsidRPr="00FF31CD" w:rsidRDefault="003F298D">
      <w:pPr>
        <w:rPr>
          <w:rFonts w:ascii="Calibri" w:hAnsi="Calibri" w:cs="Calibri"/>
          <w:b/>
          <w:bCs/>
          <w:sz w:val="24"/>
          <w:szCs w:val="24"/>
        </w:rPr>
      </w:pPr>
      <w:r w:rsidRPr="00FF31CD">
        <w:rPr>
          <w:rFonts w:ascii="Calibri" w:hAnsi="Calibri" w:cs="Calibri"/>
          <w:b/>
          <w:bCs/>
          <w:sz w:val="24"/>
          <w:szCs w:val="24"/>
        </w:rPr>
        <w:t>Jurisdiction</w:t>
      </w:r>
    </w:p>
    <w:p w14:paraId="35188FF3" w14:textId="1DD3A141" w:rsidR="001418BD" w:rsidRPr="00FF31CD" w:rsidRDefault="00104630" w:rsidP="008F0555">
      <w:pPr>
        <w:pStyle w:val="ListParagraph"/>
        <w:numPr>
          <w:ilvl w:val="0"/>
          <w:numId w:val="1"/>
        </w:numPr>
        <w:rPr>
          <w:rFonts w:ascii="Calibri" w:hAnsi="Calibri" w:cs="Calibri"/>
          <w:sz w:val="22"/>
        </w:rPr>
      </w:pPr>
      <w:r w:rsidRPr="00FF31CD">
        <w:rPr>
          <w:rFonts w:ascii="Calibri" w:hAnsi="Calibri" w:cs="Calibri"/>
          <w:b/>
          <w:bCs/>
          <w:sz w:val="22"/>
        </w:rPr>
        <w:t>Martin v. Holiday Inn</w:t>
      </w:r>
      <w:r w:rsidR="00885EFC" w:rsidRPr="00FF31CD">
        <w:rPr>
          <w:rFonts w:ascii="Calibri" w:hAnsi="Calibri" w:cs="Calibri"/>
          <w:b/>
          <w:bCs/>
          <w:sz w:val="22"/>
        </w:rPr>
        <w:t xml:space="preserve"> </w:t>
      </w:r>
      <w:r w:rsidRPr="00FF31CD">
        <w:rPr>
          <w:rFonts w:ascii="Calibri" w:hAnsi="Calibri" w:cs="Calibri"/>
          <w:b/>
          <w:bCs/>
          <w:sz w:val="22"/>
        </w:rPr>
        <w:t>Hotel &amp; Suites, et</w:t>
      </w:r>
      <w:r w:rsidR="00727716" w:rsidRPr="00FF31CD">
        <w:rPr>
          <w:rFonts w:ascii="Calibri" w:hAnsi="Calibri" w:cs="Calibri"/>
          <w:b/>
          <w:bCs/>
          <w:sz w:val="22"/>
        </w:rPr>
        <w:t xml:space="preserve"> </w:t>
      </w:r>
      <w:r w:rsidRPr="00FF31CD">
        <w:rPr>
          <w:rFonts w:ascii="Calibri" w:hAnsi="Calibri" w:cs="Calibri"/>
          <w:b/>
          <w:bCs/>
          <w:sz w:val="22"/>
        </w:rPr>
        <w:t>al,</w:t>
      </w:r>
      <w:r w:rsidRPr="00FF31CD">
        <w:rPr>
          <w:rFonts w:ascii="Calibri" w:hAnsi="Calibri" w:cs="Calibri"/>
          <w:sz w:val="22"/>
        </w:rPr>
        <w:t xml:space="preserve"> No. 3:24</w:t>
      </w:r>
      <w:r w:rsidR="00885EFC" w:rsidRPr="00FF31CD">
        <w:rPr>
          <w:rFonts w:ascii="Calibri" w:hAnsi="Calibri" w:cs="Calibri"/>
          <w:sz w:val="22"/>
        </w:rPr>
        <w:t>-cv-834, U.S. Dist. Ct., N.D. Ohio, Western Div</w:t>
      </w:r>
      <w:r w:rsidR="00884751" w:rsidRPr="00FF31CD">
        <w:rPr>
          <w:rFonts w:ascii="Calibri" w:hAnsi="Calibri" w:cs="Calibri"/>
          <w:sz w:val="22"/>
        </w:rPr>
        <w:t>.</w:t>
      </w:r>
      <w:r w:rsidR="00885EFC" w:rsidRPr="00FF31CD">
        <w:rPr>
          <w:rFonts w:ascii="Calibri" w:hAnsi="Calibri" w:cs="Calibri"/>
          <w:sz w:val="22"/>
        </w:rPr>
        <w:t xml:space="preserve"> (06/20/2024). The plaintiff, on behalf of himself and his minor child, filed a lawsuit claiming the court ha</w:t>
      </w:r>
      <w:r w:rsidR="00482086" w:rsidRPr="00FF31CD">
        <w:rPr>
          <w:rFonts w:ascii="Calibri" w:hAnsi="Calibri" w:cs="Calibri"/>
          <w:sz w:val="22"/>
        </w:rPr>
        <w:t>d</w:t>
      </w:r>
      <w:r w:rsidR="00885EFC" w:rsidRPr="00FF31CD">
        <w:rPr>
          <w:rFonts w:ascii="Calibri" w:hAnsi="Calibri" w:cs="Calibri"/>
          <w:sz w:val="22"/>
        </w:rPr>
        <w:t xml:space="preserve"> </w:t>
      </w:r>
      <w:r w:rsidR="00F80ADF" w:rsidRPr="00FF31CD">
        <w:rPr>
          <w:rFonts w:ascii="Calibri" w:hAnsi="Calibri" w:cs="Calibri"/>
          <w:sz w:val="22"/>
        </w:rPr>
        <w:t>diversity</w:t>
      </w:r>
      <w:r w:rsidR="00885EFC" w:rsidRPr="00FF31CD">
        <w:rPr>
          <w:rFonts w:ascii="Calibri" w:hAnsi="Calibri" w:cs="Calibri"/>
          <w:sz w:val="22"/>
        </w:rPr>
        <w:t xml:space="preserve"> jurisdiction over the</w:t>
      </w:r>
      <w:r w:rsidR="00F80ADF" w:rsidRPr="00FF31CD">
        <w:rPr>
          <w:rFonts w:ascii="Calibri" w:hAnsi="Calibri" w:cs="Calibri"/>
          <w:sz w:val="22"/>
        </w:rPr>
        <w:t xml:space="preserve"> </w:t>
      </w:r>
      <w:r w:rsidR="00885EFC" w:rsidRPr="00FF31CD">
        <w:rPr>
          <w:rFonts w:ascii="Calibri" w:hAnsi="Calibri" w:cs="Calibri"/>
          <w:sz w:val="22"/>
        </w:rPr>
        <w:t xml:space="preserve">matter. </w:t>
      </w:r>
      <w:r w:rsidR="00F80ADF" w:rsidRPr="00FF31CD">
        <w:rPr>
          <w:rFonts w:ascii="Calibri" w:hAnsi="Calibri" w:cs="Calibri"/>
          <w:sz w:val="22"/>
        </w:rPr>
        <w:t xml:space="preserve">The court found that the plaintiff’s complaint did not adequately establish diversity jurisdiction, which requires that all plaintiffs and defendants be citizens of different states. </w:t>
      </w:r>
      <w:r w:rsidR="00C355AC" w:rsidRPr="00FF31CD">
        <w:rPr>
          <w:rFonts w:ascii="Calibri" w:hAnsi="Calibri" w:cs="Calibri"/>
          <w:sz w:val="22"/>
        </w:rPr>
        <w:t xml:space="preserve"> </w:t>
      </w:r>
      <w:r w:rsidR="00482086" w:rsidRPr="00FF31CD">
        <w:rPr>
          <w:rFonts w:ascii="Calibri" w:hAnsi="Calibri" w:cs="Calibri"/>
          <w:sz w:val="22"/>
        </w:rPr>
        <w:t xml:space="preserve">The plaintiff only provided sufficient information regarding </w:t>
      </w:r>
      <w:r w:rsidR="00884751" w:rsidRPr="00FF31CD">
        <w:rPr>
          <w:rFonts w:ascii="Calibri" w:hAnsi="Calibri" w:cs="Calibri"/>
          <w:sz w:val="22"/>
        </w:rPr>
        <w:t>citizenship</w:t>
      </w:r>
      <w:r w:rsidR="00482086" w:rsidRPr="00FF31CD">
        <w:rPr>
          <w:rFonts w:ascii="Calibri" w:hAnsi="Calibri" w:cs="Calibri"/>
          <w:sz w:val="22"/>
        </w:rPr>
        <w:t xml:space="preserve"> of two individual </w:t>
      </w:r>
      <w:r w:rsidR="00884751" w:rsidRPr="00FF31CD">
        <w:rPr>
          <w:rFonts w:ascii="Calibri" w:hAnsi="Calibri" w:cs="Calibri"/>
          <w:sz w:val="22"/>
        </w:rPr>
        <w:t>defendants</w:t>
      </w:r>
      <w:r w:rsidR="00482086" w:rsidRPr="00FF31CD">
        <w:rPr>
          <w:rFonts w:ascii="Calibri" w:hAnsi="Calibri" w:cs="Calibri"/>
          <w:sz w:val="22"/>
        </w:rPr>
        <w:t>. But for the other defendants, including various LLCs</w:t>
      </w:r>
      <w:r w:rsidR="00884751" w:rsidRPr="00FF31CD">
        <w:rPr>
          <w:rFonts w:ascii="Calibri" w:hAnsi="Calibri" w:cs="Calibri"/>
          <w:sz w:val="22"/>
        </w:rPr>
        <w:t xml:space="preserve">, the plaintiff failed to specify whether the entities were corporate or non-corporate and did not identify the citizenship of each member of the LLCs. The plaintiff was ordered to supplement the complaint with an affidavit detailing the citizenship of all defendants.  The judge also encouraged the parties to work together to ensure that jurisdiction can be verified promptly, warning that failure to establish jurisdiction could result in the case’s dismissal. </w:t>
      </w:r>
    </w:p>
    <w:p w14:paraId="4D82E9C6" w14:textId="77777777" w:rsidR="005D6184" w:rsidRPr="00FF31CD" w:rsidRDefault="005D6184" w:rsidP="005D6184">
      <w:pPr>
        <w:pStyle w:val="ListParagraph"/>
        <w:ind w:left="1080" w:firstLine="0"/>
        <w:rPr>
          <w:rFonts w:ascii="Calibri" w:hAnsi="Calibri" w:cs="Calibri"/>
          <w:sz w:val="22"/>
        </w:rPr>
      </w:pPr>
    </w:p>
    <w:p w14:paraId="339750CB" w14:textId="77777777" w:rsidR="00680544" w:rsidRPr="00FF31CD" w:rsidRDefault="00680544" w:rsidP="00680544">
      <w:pPr>
        <w:pStyle w:val="ListParagraph"/>
        <w:numPr>
          <w:ilvl w:val="0"/>
          <w:numId w:val="1"/>
        </w:numPr>
        <w:rPr>
          <w:rFonts w:ascii="Calibri" w:hAnsi="Calibri" w:cs="Calibri"/>
          <w:sz w:val="22"/>
        </w:rPr>
      </w:pPr>
      <w:r w:rsidRPr="00FF31CD">
        <w:rPr>
          <w:rFonts w:ascii="Calibri" w:hAnsi="Calibri" w:cs="Calibri"/>
          <w:b/>
          <w:bCs/>
          <w:sz w:val="22"/>
        </w:rPr>
        <w:t>Lyons v. Hyatt Hotels Corp., et al,</w:t>
      </w:r>
      <w:r w:rsidRPr="00FF31CD">
        <w:rPr>
          <w:rFonts w:ascii="Calibri" w:hAnsi="Calibri" w:cs="Calibri"/>
          <w:sz w:val="22"/>
        </w:rPr>
        <w:t xml:space="preserve"> 2024 WL 706040, N.D. Indiana (02/21/2024). A guest of the hotel, located in Mexico, was injured when he, while riding in a golf cart driven by a hotel employee was thrown from the cart and suffered serious damages. The guest was a resident of Indiana and a urogynecologist.  The plaintiff filed a suit for his personal injuries in Indiana and the hotel sought to remove the case to Mexico.  Indiana has a comparative negligence rule, and Mexico follows the contributory negligence rule. Also, Mexico does not allow recovery for punitive damages or pain and suffering. The hotel sought a declaratory judgment that Mexican laws should apply. The court agreed stating that the accident occurred in Mexico, the hotel’s duty to the plaintiff was allegedly breached in Mexico and the plaintiff was initially treated in Mexico for his injuries.  The court said, “People do not take the laws of their home state with them when they travel, but are subject to the laws of the state in which they act,” unless that place bears little connection to the action.</w:t>
      </w:r>
    </w:p>
    <w:p w14:paraId="20003F20" w14:textId="77777777" w:rsidR="00082B1B" w:rsidRPr="00FF31CD" w:rsidRDefault="00082B1B" w:rsidP="00082B1B">
      <w:pPr>
        <w:pStyle w:val="ListParagraph"/>
        <w:rPr>
          <w:rFonts w:ascii="Calibri" w:hAnsi="Calibri" w:cs="Calibri"/>
          <w:sz w:val="22"/>
        </w:rPr>
      </w:pPr>
    </w:p>
    <w:p w14:paraId="31F50652" w14:textId="77777777" w:rsidR="00082B1B" w:rsidRPr="00FF31CD" w:rsidRDefault="00082B1B" w:rsidP="00082B1B">
      <w:pPr>
        <w:pStyle w:val="ListParagraph"/>
        <w:ind w:left="1080" w:firstLine="0"/>
        <w:rPr>
          <w:rFonts w:ascii="Calibri" w:hAnsi="Calibri" w:cs="Calibri"/>
          <w:sz w:val="22"/>
        </w:rPr>
      </w:pPr>
    </w:p>
    <w:p w14:paraId="4A08E477" w14:textId="77777777" w:rsidR="00C21EFE" w:rsidRPr="00FF31CD" w:rsidRDefault="00C21EFE" w:rsidP="00C21EFE">
      <w:pPr>
        <w:pStyle w:val="ListParagraph"/>
        <w:ind w:left="1080" w:firstLine="0"/>
        <w:rPr>
          <w:rFonts w:ascii="Calibri" w:hAnsi="Calibri" w:cs="Calibri"/>
          <w:sz w:val="22"/>
        </w:rPr>
      </w:pPr>
    </w:p>
    <w:p w14:paraId="2616EDC7" w14:textId="293B98EE" w:rsidR="009373B5" w:rsidRPr="00FF31CD" w:rsidRDefault="009373B5">
      <w:pPr>
        <w:rPr>
          <w:rFonts w:ascii="Calibri" w:hAnsi="Calibri" w:cs="Calibri"/>
          <w:b/>
          <w:bCs/>
          <w:sz w:val="24"/>
          <w:szCs w:val="24"/>
        </w:rPr>
      </w:pPr>
      <w:r w:rsidRPr="00FF31CD">
        <w:rPr>
          <w:rFonts w:ascii="Calibri" w:hAnsi="Calibri" w:cs="Calibri"/>
          <w:b/>
          <w:bCs/>
          <w:sz w:val="24"/>
          <w:szCs w:val="24"/>
        </w:rPr>
        <w:lastRenderedPageBreak/>
        <w:t>Licenses – Alcohol</w:t>
      </w:r>
    </w:p>
    <w:p w14:paraId="628CB160" w14:textId="68F36E3E" w:rsidR="00D21FB1" w:rsidRPr="00FF31CD" w:rsidRDefault="00D21FB1" w:rsidP="008F0555">
      <w:pPr>
        <w:pStyle w:val="ListParagraph"/>
        <w:numPr>
          <w:ilvl w:val="0"/>
          <w:numId w:val="1"/>
        </w:numPr>
        <w:rPr>
          <w:rFonts w:ascii="Calibri" w:hAnsi="Calibri" w:cs="Calibri"/>
          <w:sz w:val="22"/>
        </w:rPr>
      </w:pPr>
      <w:r w:rsidRPr="00FF31CD">
        <w:rPr>
          <w:rFonts w:ascii="Calibri" w:hAnsi="Calibri" w:cs="Calibri"/>
          <w:b/>
          <w:bCs/>
          <w:sz w:val="22"/>
        </w:rPr>
        <w:t>Dichello Distr</w:t>
      </w:r>
      <w:r w:rsidR="00207535" w:rsidRPr="00FF31CD">
        <w:rPr>
          <w:rFonts w:ascii="Calibri" w:hAnsi="Calibri" w:cs="Calibri"/>
          <w:b/>
          <w:bCs/>
          <w:sz w:val="22"/>
        </w:rPr>
        <w:t>i</w:t>
      </w:r>
      <w:r w:rsidRPr="00FF31CD">
        <w:rPr>
          <w:rFonts w:ascii="Calibri" w:hAnsi="Calibri" w:cs="Calibri"/>
          <w:b/>
          <w:bCs/>
          <w:sz w:val="22"/>
        </w:rPr>
        <w:t>butors, Inc. v. Anheuser-Busch, LLC</w:t>
      </w:r>
      <w:r w:rsidR="00207535" w:rsidRPr="00FF31CD">
        <w:rPr>
          <w:rFonts w:ascii="Calibri" w:hAnsi="Calibri" w:cs="Calibri"/>
          <w:sz w:val="22"/>
        </w:rPr>
        <w:t>,</w:t>
      </w:r>
      <w:r w:rsidRPr="00FF31CD">
        <w:rPr>
          <w:rFonts w:ascii="Calibri" w:hAnsi="Calibri" w:cs="Calibri"/>
          <w:sz w:val="22"/>
        </w:rPr>
        <w:t xml:space="preserve"> No. 3:20 cv 01003-MS U.S. District Court, D. Conn (02/</w:t>
      </w:r>
      <w:r w:rsidR="0039338A" w:rsidRPr="00FF31CD">
        <w:rPr>
          <w:rFonts w:ascii="Calibri" w:hAnsi="Calibri" w:cs="Calibri"/>
          <w:sz w:val="22"/>
        </w:rPr>
        <w:t>07/</w:t>
      </w:r>
      <w:r w:rsidR="00633EA5" w:rsidRPr="00FF31CD">
        <w:rPr>
          <w:rFonts w:ascii="Calibri" w:hAnsi="Calibri" w:cs="Calibri"/>
          <w:sz w:val="22"/>
        </w:rPr>
        <w:t>2024</w:t>
      </w:r>
      <w:r w:rsidR="0039338A" w:rsidRPr="00FF31CD">
        <w:rPr>
          <w:rFonts w:ascii="Calibri" w:hAnsi="Calibri" w:cs="Calibri"/>
          <w:sz w:val="22"/>
        </w:rPr>
        <w:t>).</w:t>
      </w:r>
      <w:r w:rsidR="00FA4ACA" w:rsidRPr="00FF31CD">
        <w:rPr>
          <w:rFonts w:ascii="Calibri" w:hAnsi="Calibri" w:cs="Calibri"/>
          <w:sz w:val="22"/>
        </w:rPr>
        <w:t xml:space="preserve"> Connecticut has a three-tier system for alcohol distribution. </w:t>
      </w:r>
      <w:r w:rsidR="00BA3C68" w:rsidRPr="00FF31CD">
        <w:rPr>
          <w:rFonts w:ascii="Calibri" w:hAnsi="Calibri" w:cs="Calibri"/>
          <w:sz w:val="22"/>
        </w:rPr>
        <w:t>Plaintiff</w:t>
      </w:r>
      <w:r w:rsidR="00FA4ACA" w:rsidRPr="00FF31CD">
        <w:rPr>
          <w:rFonts w:ascii="Calibri" w:hAnsi="Calibri" w:cs="Calibri"/>
          <w:sz w:val="22"/>
        </w:rPr>
        <w:t>,</w:t>
      </w:r>
      <w:r w:rsidR="0004084E" w:rsidRPr="00FF31CD">
        <w:rPr>
          <w:rFonts w:ascii="Calibri" w:hAnsi="Calibri" w:cs="Calibri"/>
          <w:sz w:val="22"/>
        </w:rPr>
        <w:t xml:space="preserve"> </w:t>
      </w:r>
      <w:r w:rsidR="00BA3C68" w:rsidRPr="00FF31CD">
        <w:rPr>
          <w:rFonts w:ascii="Calibri" w:hAnsi="Calibri" w:cs="Calibri"/>
          <w:sz w:val="22"/>
        </w:rPr>
        <w:t>a beverage wholesaler</w:t>
      </w:r>
      <w:r w:rsidR="004607A9" w:rsidRPr="00FF31CD">
        <w:rPr>
          <w:rFonts w:ascii="Calibri" w:hAnsi="Calibri" w:cs="Calibri"/>
          <w:sz w:val="22"/>
        </w:rPr>
        <w:t>,</w:t>
      </w:r>
      <w:r w:rsidR="00BA3C68" w:rsidRPr="00FF31CD">
        <w:rPr>
          <w:rFonts w:ascii="Calibri" w:hAnsi="Calibri" w:cs="Calibri"/>
          <w:sz w:val="22"/>
        </w:rPr>
        <w:t xml:space="preserve"> filed suit against Anheuser-Busch the supplier </w:t>
      </w:r>
      <w:r w:rsidR="004607A9" w:rsidRPr="00FF31CD">
        <w:rPr>
          <w:rFonts w:ascii="Calibri" w:hAnsi="Calibri" w:cs="Calibri"/>
          <w:sz w:val="22"/>
        </w:rPr>
        <w:t xml:space="preserve">since the 1940s </w:t>
      </w:r>
      <w:r w:rsidR="00BA3C68" w:rsidRPr="00FF31CD">
        <w:rPr>
          <w:rFonts w:ascii="Calibri" w:hAnsi="Calibri" w:cs="Calibri"/>
          <w:sz w:val="22"/>
        </w:rPr>
        <w:t xml:space="preserve">alleging that defendant violated </w:t>
      </w:r>
      <w:r w:rsidR="005D6E1D" w:rsidRPr="00FF31CD">
        <w:rPr>
          <w:rFonts w:ascii="Calibri" w:hAnsi="Calibri" w:cs="Calibri"/>
          <w:sz w:val="22"/>
        </w:rPr>
        <w:t xml:space="preserve">Connecticut law and public policy by exercising excessive control over the plaintiff. Plaintiff claimed that the defendant’s actions amounted to </w:t>
      </w:r>
      <w:r w:rsidR="00AB0728" w:rsidRPr="00FF31CD">
        <w:rPr>
          <w:rFonts w:ascii="Calibri" w:hAnsi="Calibri" w:cs="Calibri"/>
          <w:sz w:val="22"/>
        </w:rPr>
        <w:t>unfair</w:t>
      </w:r>
      <w:r w:rsidR="005D6E1D" w:rsidRPr="00FF31CD">
        <w:rPr>
          <w:rFonts w:ascii="Calibri" w:hAnsi="Calibri" w:cs="Calibri"/>
          <w:sz w:val="22"/>
        </w:rPr>
        <w:t xml:space="preserve"> trade practices and tortious interference with its business relationships. The defendant deni</w:t>
      </w:r>
      <w:r w:rsidR="00AB0728" w:rsidRPr="00FF31CD">
        <w:rPr>
          <w:rFonts w:ascii="Calibri" w:hAnsi="Calibri" w:cs="Calibri"/>
          <w:sz w:val="22"/>
        </w:rPr>
        <w:t xml:space="preserve">ed the allegations and filed a counterclaim for breach of contract, fraudulent misrepresentation, and breach of the duty of good faith and fair dealing. </w:t>
      </w:r>
      <w:r w:rsidR="004607A9" w:rsidRPr="00FF31CD">
        <w:rPr>
          <w:rFonts w:ascii="Calibri" w:hAnsi="Calibri" w:cs="Calibri"/>
          <w:sz w:val="22"/>
        </w:rPr>
        <w:t>The parties entered into a Wholesale Equity Agreement which outlines the rights and responsibilities of each party.</w:t>
      </w:r>
      <w:r w:rsidR="00494D88" w:rsidRPr="00FF31CD">
        <w:rPr>
          <w:rFonts w:ascii="Calibri" w:hAnsi="Calibri" w:cs="Calibri"/>
          <w:sz w:val="22"/>
        </w:rPr>
        <w:t xml:space="preserve"> The court found that a reasonable jury could not conclude that defendant intentionally and improperly interfered with the plaintiffs business relationships</w:t>
      </w:r>
      <w:r w:rsidR="0099621C" w:rsidRPr="00FF31CD">
        <w:rPr>
          <w:rFonts w:ascii="Calibri" w:hAnsi="Calibri" w:cs="Calibri"/>
          <w:sz w:val="22"/>
        </w:rPr>
        <w:t xml:space="preserve"> nor exercised control over the plaintiff’s advertising or leads</w:t>
      </w:r>
      <w:r w:rsidR="00494D88" w:rsidRPr="00FF31CD">
        <w:rPr>
          <w:rFonts w:ascii="Calibri" w:hAnsi="Calibri" w:cs="Calibri"/>
          <w:sz w:val="22"/>
        </w:rPr>
        <w:t>.</w:t>
      </w:r>
    </w:p>
    <w:p w14:paraId="5E3C7388" w14:textId="77777777" w:rsidR="00416DD9" w:rsidRPr="00FF31CD" w:rsidRDefault="00416DD9" w:rsidP="00416DD9">
      <w:pPr>
        <w:pStyle w:val="ListParagraph"/>
        <w:ind w:left="1080" w:firstLine="0"/>
        <w:rPr>
          <w:rFonts w:ascii="Calibri" w:hAnsi="Calibri" w:cs="Calibri"/>
          <w:sz w:val="22"/>
        </w:rPr>
      </w:pPr>
    </w:p>
    <w:p w14:paraId="46044815" w14:textId="5F487EAE" w:rsidR="00D60F3E" w:rsidRPr="00FF31CD" w:rsidRDefault="00D60F3E" w:rsidP="002B7A8D">
      <w:pPr>
        <w:pStyle w:val="ListParagraph"/>
        <w:ind w:left="900" w:hanging="810"/>
        <w:rPr>
          <w:rFonts w:ascii="Calibri" w:hAnsi="Calibri" w:cs="Calibri"/>
          <w:b/>
          <w:bCs/>
          <w:szCs w:val="24"/>
        </w:rPr>
      </w:pPr>
      <w:r w:rsidRPr="00FF31CD">
        <w:rPr>
          <w:rFonts w:ascii="Calibri" w:hAnsi="Calibri" w:cs="Calibri"/>
          <w:b/>
          <w:bCs/>
          <w:szCs w:val="24"/>
        </w:rPr>
        <w:t>Neg</w:t>
      </w:r>
      <w:r w:rsidR="00F6238A" w:rsidRPr="00FF31CD">
        <w:rPr>
          <w:rFonts w:ascii="Calibri" w:hAnsi="Calibri" w:cs="Calibri"/>
          <w:b/>
          <w:bCs/>
          <w:szCs w:val="24"/>
        </w:rPr>
        <w:t>ligence – Assumption of Risk</w:t>
      </w:r>
    </w:p>
    <w:p w14:paraId="1732014F" w14:textId="77777777" w:rsidR="00F6238A" w:rsidRPr="00FF31CD" w:rsidRDefault="00F6238A" w:rsidP="002B7A8D">
      <w:pPr>
        <w:pStyle w:val="ListParagraph"/>
        <w:ind w:left="900" w:hanging="810"/>
        <w:rPr>
          <w:rFonts w:ascii="Calibri" w:hAnsi="Calibri" w:cs="Calibri"/>
          <w:b/>
          <w:bCs/>
          <w:szCs w:val="24"/>
        </w:rPr>
      </w:pPr>
    </w:p>
    <w:p w14:paraId="1C69507D" w14:textId="4BC7594A" w:rsidR="00F6238A" w:rsidRPr="00FF31CD" w:rsidRDefault="00F6238A" w:rsidP="00F6238A">
      <w:pPr>
        <w:pStyle w:val="ListParagraph"/>
        <w:numPr>
          <w:ilvl w:val="0"/>
          <w:numId w:val="1"/>
        </w:numPr>
        <w:rPr>
          <w:rFonts w:ascii="Calibri" w:hAnsi="Calibri" w:cs="Calibri"/>
          <w:sz w:val="22"/>
        </w:rPr>
      </w:pPr>
      <w:r w:rsidRPr="00FF31CD">
        <w:rPr>
          <w:rFonts w:ascii="Calibri" w:hAnsi="Calibri" w:cs="Calibri"/>
          <w:b/>
          <w:bCs/>
          <w:sz w:val="22"/>
        </w:rPr>
        <w:t>Joyner v</w:t>
      </w:r>
      <w:r w:rsidR="00F71E0B">
        <w:rPr>
          <w:rFonts w:ascii="Calibri" w:hAnsi="Calibri" w:cs="Calibri"/>
          <w:b/>
          <w:bCs/>
          <w:sz w:val="22"/>
        </w:rPr>
        <w:t>.</w:t>
      </w:r>
      <w:r w:rsidRPr="00FF31CD">
        <w:rPr>
          <w:rFonts w:ascii="Calibri" w:hAnsi="Calibri" w:cs="Calibri"/>
          <w:b/>
          <w:bCs/>
          <w:sz w:val="22"/>
        </w:rPr>
        <w:t xml:space="preserve"> Drury Hotels Co., LLC, </w:t>
      </w:r>
      <w:r w:rsidRPr="00FF31CD">
        <w:rPr>
          <w:rFonts w:ascii="Calibri" w:hAnsi="Calibri" w:cs="Calibri"/>
          <w:sz w:val="22"/>
        </w:rPr>
        <w:t xml:space="preserve">2024 WL 3569980 (N.D. GA, 2024).  Plaintiff was a guest at defendant hotel.  She broke her ankle when she cannonballed into the hotel pool which was only three feet deep.  A photo from the pool area showed fourteen signs alerting guests to the three feet depth of the pool.  Plaintiff did not ascertain the pool’s depth before jumping.  The hotel moved for summary judgment on the basis of plain view and assumption of risk.  The court granted the hotel’s motion, noting a duty to exercise ordinary care for one’s own safety. </w:t>
      </w:r>
    </w:p>
    <w:p w14:paraId="7AFA52AB" w14:textId="77777777" w:rsidR="00F6238A" w:rsidRPr="00FF31CD" w:rsidRDefault="00F6238A" w:rsidP="00F6238A">
      <w:pPr>
        <w:pStyle w:val="ListParagraph"/>
        <w:ind w:left="1080" w:firstLine="0"/>
        <w:rPr>
          <w:rFonts w:ascii="Calibri" w:hAnsi="Calibri" w:cs="Calibri"/>
          <w:sz w:val="22"/>
        </w:rPr>
      </w:pPr>
    </w:p>
    <w:p w14:paraId="63C75F89" w14:textId="77777777" w:rsidR="004379E0" w:rsidRPr="00FF31CD" w:rsidRDefault="004379E0" w:rsidP="002B7A8D">
      <w:pPr>
        <w:pStyle w:val="ListParagraph"/>
        <w:ind w:left="900" w:hanging="810"/>
        <w:rPr>
          <w:rFonts w:ascii="Calibri" w:hAnsi="Calibri" w:cs="Calibri"/>
          <w:b/>
          <w:bCs/>
          <w:szCs w:val="24"/>
        </w:rPr>
      </w:pPr>
      <w:bookmarkStart w:id="0" w:name="_Hlk194067144"/>
      <w:r w:rsidRPr="00FF31CD">
        <w:rPr>
          <w:rFonts w:ascii="Calibri" w:hAnsi="Calibri" w:cs="Calibri"/>
          <w:b/>
          <w:bCs/>
          <w:szCs w:val="24"/>
        </w:rPr>
        <w:t>Negligence – Negligent Hiring</w:t>
      </w:r>
    </w:p>
    <w:p w14:paraId="58171B26" w14:textId="77777777" w:rsidR="004379E0" w:rsidRPr="00FF31CD" w:rsidRDefault="004379E0" w:rsidP="002B7A8D">
      <w:pPr>
        <w:pStyle w:val="ListParagraph"/>
        <w:ind w:left="900" w:hanging="810"/>
        <w:rPr>
          <w:rFonts w:ascii="Calibri" w:hAnsi="Calibri" w:cs="Calibri"/>
          <w:b/>
          <w:bCs/>
          <w:szCs w:val="24"/>
        </w:rPr>
      </w:pPr>
    </w:p>
    <w:p w14:paraId="10383660" w14:textId="66B38069" w:rsidR="004379E0" w:rsidRPr="00FF31CD" w:rsidRDefault="00682F1A" w:rsidP="004379E0">
      <w:pPr>
        <w:pStyle w:val="ListParagraph"/>
        <w:numPr>
          <w:ilvl w:val="0"/>
          <w:numId w:val="1"/>
        </w:numPr>
        <w:rPr>
          <w:rFonts w:ascii="Calibri" w:hAnsi="Calibri" w:cs="Calibri"/>
          <w:sz w:val="22"/>
        </w:rPr>
      </w:pPr>
      <w:r w:rsidRPr="00FF31CD">
        <w:rPr>
          <w:rFonts w:ascii="Calibri" w:hAnsi="Calibri" w:cs="Calibri"/>
          <w:b/>
          <w:bCs/>
          <w:sz w:val="22"/>
        </w:rPr>
        <w:t>Turrentine v. Super 8 Belleville and Wyndham Hotels &amp; Resorts, Inc</w:t>
      </w:r>
      <w:r w:rsidRPr="00FF31CD">
        <w:rPr>
          <w:rFonts w:ascii="Calibri" w:hAnsi="Calibri" w:cs="Calibri"/>
          <w:sz w:val="22"/>
        </w:rPr>
        <w:t>., 2025 WL 88894 (MI Appls, 2025).  A male front desk employee sexually assaulted two female employees.  They sued the hotel for negligent hiring, negligent retention, negligent supervision, and assault and battery. The causes of action for negligent hiring and retention require actual or constructive knowledge by the employer of information that would make the specific wrongful conduct perpetrated by an employee predictable. Here the plaintiffs had no evidence to suggest that defendants knew of should have known of the employee’s likelihood to commit a sexual assault against a prior sexual assault. Summary judgment awarded to defendant.</w:t>
      </w:r>
    </w:p>
    <w:p w14:paraId="2DA19244" w14:textId="77777777" w:rsidR="00682F1A" w:rsidRPr="00FF31CD" w:rsidRDefault="00682F1A" w:rsidP="00682F1A">
      <w:pPr>
        <w:pStyle w:val="ListParagraph"/>
        <w:ind w:left="1080" w:firstLine="0"/>
        <w:rPr>
          <w:rFonts w:ascii="Calibri" w:hAnsi="Calibri" w:cs="Calibri"/>
          <w:sz w:val="22"/>
        </w:rPr>
      </w:pPr>
    </w:p>
    <w:p w14:paraId="06CAD519" w14:textId="72A8FDA2" w:rsidR="00A75E42" w:rsidRPr="00FF31CD" w:rsidRDefault="00A75E42" w:rsidP="002B7A8D">
      <w:pPr>
        <w:pStyle w:val="ListParagraph"/>
        <w:ind w:left="900" w:hanging="810"/>
        <w:rPr>
          <w:rFonts w:ascii="Calibri" w:hAnsi="Calibri" w:cs="Calibri"/>
          <w:b/>
          <w:bCs/>
          <w:szCs w:val="24"/>
        </w:rPr>
      </w:pPr>
      <w:r w:rsidRPr="00FF31CD">
        <w:rPr>
          <w:rFonts w:ascii="Calibri" w:hAnsi="Calibri" w:cs="Calibri"/>
          <w:b/>
          <w:bCs/>
          <w:szCs w:val="24"/>
        </w:rPr>
        <w:t>Negligence – Infliction of Emotional Distress</w:t>
      </w:r>
    </w:p>
    <w:bookmarkEnd w:id="0"/>
    <w:p w14:paraId="16A0B667" w14:textId="77777777" w:rsidR="00A75E42" w:rsidRPr="00FF31CD" w:rsidRDefault="00A75E42" w:rsidP="002B7A8D">
      <w:pPr>
        <w:pStyle w:val="ListParagraph"/>
        <w:ind w:left="900" w:hanging="810"/>
        <w:rPr>
          <w:rFonts w:ascii="Calibri" w:hAnsi="Calibri" w:cs="Calibri"/>
          <w:b/>
          <w:bCs/>
          <w:szCs w:val="24"/>
        </w:rPr>
      </w:pPr>
    </w:p>
    <w:p w14:paraId="72310A3E" w14:textId="558E89B1" w:rsidR="00D21A9C" w:rsidRPr="00FF31CD" w:rsidRDefault="00055C65" w:rsidP="00C132B1">
      <w:pPr>
        <w:pStyle w:val="ListParagraph"/>
        <w:numPr>
          <w:ilvl w:val="0"/>
          <w:numId w:val="1"/>
        </w:numPr>
        <w:rPr>
          <w:rFonts w:ascii="Calibri" w:hAnsi="Calibri" w:cs="Calibri"/>
          <w:sz w:val="22"/>
        </w:rPr>
      </w:pPr>
      <w:r w:rsidRPr="00FF31CD">
        <w:rPr>
          <w:rFonts w:ascii="Calibri" w:hAnsi="Calibri" w:cs="Calibri"/>
          <w:b/>
          <w:bCs/>
          <w:sz w:val="22"/>
        </w:rPr>
        <w:t>Scheffer v. Jamerson</w:t>
      </w:r>
      <w:r w:rsidR="00060823" w:rsidRPr="00FF31CD">
        <w:rPr>
          <w:rFonts w:ascii="Calibri" w:hAnsi="Calibri" w:cs="Calibri"/>
          <w:sz w:val="22"/>
        </w:rPr>
        <w:t>,</w:t>
      </w:r>
      <w:r w:rsidRPr="00FF31CD">
        <w:rPr>
          <w:rFonts w:ascii="Calibri" w:hAnsi="Calibri" w:cs="Calibri"/>
          <w:sz w:val="22"/>
        </w:rPr>
        <w:t xml:space="preserve"> No. 3:23-cv-</w:t>
      </w:r>
      <w:r w:rsidR="00060823" w:rsidRPr="00FF31CD">
        <w:rPr>
          <w:rFonts w:ascii="Calibri" w:hAnsi="Calibri" w:cs="Calibri"/>
          <w:sz w:val="22"/>
        </w:rPr>
        <w:t xml:space="preserve">00048 U.S. Dist. Ct. W.D. Virginia (06/14/2024). </w:t>
      </w:r>
      <w:r w:rsidR="008A506A" w:rsidRPr="00FF31CD">
        <w:rPr>
          <w:rFonts w:ascii="Calibri" w:hAnsi="Calibri" w:cs="Calibri"/>
          <w:sz w:val="22"/>
        </w:rPr>
        <w:t>The plaintiffs Allen and Patricia Scheffer brought an action against a law enforcement officer, Randy Jamerson for intentional infliction of emotional distress</w:t>
      </w:r>
      <w:r w:rsidR="000C14C1" w:rsidRPr="00FF31CD">
        <w:rPr>
          <w:rFonts w:ascii="Calibri" w:hAnsi="Calibri" w:cs="Calibri"/>
          <w:sz w:val="22"/>
        </w:rPr>
        <w:t xml:space="preserve"> (IIED)</w:t>
      </w:r>
      <w:r w:rsidR="008A506A" w:rsidRPr="00FF31CD">
        <w:rPr>
          <w:rFonts w:ascii="Calibri" w:hAnsi="Calibri" w:cs="Calibri"/>
          <w:sz w:val="22"/>
        </w:rPr>
        <w:t xml:space="preserve">, gross negligence and willful and wanton negligence after a mistaken identity incident during a police manhunt in Charlottesville, Virgina. </w:t>
      </w:r>
      <w:r w:rsidR="00D21A9C" w:rsidRPr="00FF31CD">
        <w:rPr>
          <w:rFonts w:ascii="Calibri" w:hAnsi="Calibri" w:cs="Calibri"/>
          <w:sz w:val="22"/>
        </w:rPr>
        <w:t xml:space="preserve">While the Scheffers were staying at </w:t>
      </w:r>
      <w:r w:rsidR="007D4037" w:rsidRPr="00FF31CD">
        <w:rPr>
          <w:rFonts w:ascii="Calibri" w:hAnsi="Calibri" w:cs="Calibri"/>
          <w:sz w:val="22"/>
        </w:rPr>
        <w:t>the</w:t>
      </w:r>
      <w:r w:rsidR="00D21A9C" w:rsidRPr="00FF31CD">
        <w:rPr>
          <w:rFonts w:ascii="Calibri" w:hAnsi="Calibri" w:cs="Calibri"/>
          <w:sz w:val="22"/>
        </w:rPr>
        <w:t xml:space="preserve"> hotel, law enforcement mistakenly believed they were harboring a kidnapping suspect because the Scheffers were driving a rental Jeep that vaguely matched the suspect's vehicle. Despite discovering that the Scheffers were not the suspects, officers, including </w:t>
      </w:r>
      <w:r w:rsidR="007D4037" w:rsidRPr="00FF31CD">
        <w:rPr>
          <w:rFonts w:ascii="Calibri" w:hAnsi="Calibri" w:cs="Calibri"/>
          <w:sz w:val="22"/>
        </w:rPr>
        <w:t>the defendant</w:t>
      </w:r>
      <w:r w:rsidR="00D21A9C" w:rsidRPr="00FF31CD">
        <w:rPr>
          <w:rFonts w:ascii="Calibri" w:hAnsi="Calibri" w:cs="Calibri"/>
          <w:sz w:val="22"/>
        </w:rPr>
        <w:t>, still confronted them in their hotel room late at night, leading to a tense encounter where</w:t>
      </w:r>
      <w:r w:rsidR="007D4037" w:rsidRPr="00FF31CD">
        <w:rPr>
          <w:rFonts w:ascii="Calibri" w:hAnsi="Calibri" w:cs="Calibri"/>
          <w:sz w:val="22"/>
        </w:rPr>
        <w:t xml:space="preserve"> the defendant</w:t>
      </w:r>
      <w:r w:rsidR="00D21A9C" w:rsidRPr="00FF31CD">
        <w:rPr>
          <w:rFonts w:ascii="Calibri" w:hAnsi="Calibri" w:cs="Calibri"/>
          <w:sz w:val="22"/>
        </w:rPr>
        <w:t xml:space="preserve"> and another </w:t>
      </w:r>
      <w:r w:rsidR="00D21A9C" w:rsidRPr="00FF31CD">
        <w:rPr>
          <w:rFonts w:ascii="Calibri" w:hAnsi="Calibri" w:cs="Calibri"/>
          <w:sz w:val="22"/>
        </w:rPr>
        <w:lastRenderedPageBreak/>
        <w:t>officer pointed guns at Mr. Scheffer and conducted a search.</w:t>
      </w:r>
      <w:r w:rsidR="007D4037" w:rsidRPr="00FF31CD">
        <w:rPr>
          <w:rFonts w:ascii="Calibri" w:hAnsi="Calibri" w:cs="Calibri"/>
          <w:sz w:val="22"/>
        </w:rPr>
        <w:t xml:space="preserve"> The defendant</w:t>
      </w:r>
      <w:r w:rsidR="00D21A9C" w:rsidRPr="00FF31CD">
        <w:rPr>
          <w:rFonts w:ascii="Calibri" w:hAnsi="Calibri" w:cs="Calibri"/>
          <w:sz w:val="22"/>
        </w:rPr>
        <w:t xml:space="preserve"> moved to dismiss the claims</w:t>
      </w:r>
      <w:r w:rsidR="000C14C1" w:rsidRPr="00FF31CD">
        <w:rPr>
          <w:rFonts w:ascii="Calibri" w:hAnsi="Calibri" w:cs="Calibri"/>
          <w:sz w:val="22"/>
        </w:rPr>
        <w:t>.</w:t>
      </w:r>
      <w:r w:rsidR="00D21A9C" w:rsidRPr="00FF31CD">
        <w:rPr>
          <w:rFonts w:ascii="Calibri" w:hAnsi="Calibri" w:cs="Calibri"/>
          <w:sz w:val="22"/>
        </w:rPr>
        <w:t xml:space="preserve"> The court ruled that the Scheffers' IIED claim was insufficient because they did not demonstrate severe emotional distress as required by Virginia law. Their symptoms, such as loss of sleep and night terrors, did not meet the high threshold for IIED, which demands life-altering distress. The court also dismissed the gross and willful and wanton negligence claims, noting that </w:t>
      </w:r>
      <w:r w:rsidR="000C14C1" w:rsidRPr="00FF31CD">
        <w:rPr>
          <w:rFonts w:ascii="Calibri" w:hAnsi="Calibri" w:cs="Calibri"/>
          <w:sz w:val="22"/>
        </w:rPr>
        <w:t>the defendant’s</w:t>
      </w:r>
      <w:r w:rsidR="00D21A9C" w:rsidRPr="00FF31CD">
        <w:rPr>
          <w:rFonts w:ascii="Calibri" w:hAnsi="Calibri" w:cs="Calibri"/>
          <w:sz w:val="22"/>
        </w:rPr>
        <w:t xml:space="preserve"> actions, while possibly forceful, showed some degree of care, thus failing to meet the legal standards for gross negligence, which requires a complete disregard for safety.</w:t>
      </w:r>
      <w:r w:rsidR="007D4037" w:rsidRPr="00FF31CD">
        <w:rPr>
          <w:rFonts w:ascii="Calibri" w:hAnsi="Calibri" w:cs="Calibri"/>
          <w:sz w:val="22"/>
        </w:rPr>
        <w:t xml:space="preserve"> </w:t>
      </w:r>
      <w:r w:rsidR="00D21A9C" w:rsidRPr="00FF31CD">
        <w:rPr>
          <w:rFonts w:ascii="Calibri" w:hAnsi="Calibri" w:cs="Calibri"/>
          <w:sz w:val="22"/>
        </w:rPr>
        <w:t xml:space="preserve">As a result, the court dismissed the claims of IIED, gross negligence, and willful and wanton negligence against </w:t>
      </w:r>
      <w:r w:rsidR="000C14C1" w:rsidRPr="00FF31CD">
        <w:rPr>
          <w:rFonts w:ascii="Calibri" w:hAnsi="Calibri" w:cs="Calibri"/>
          <w:sz w:val="22"/>
        </w:rPr>
        <w:t>the defendant.</w:t>
      </w:r>
    </w:p>
    <w:p w14:paraId="11C633F5" w14:textId="77777777" w:rsidR="00CD1283" w:rsidRPr="00FF31CD" w:rsidRDefault="00CD1283" w:rsidP="00CD1283">
      <w:pPr>
        <w:pStyle w:val="ListParagraph"/>
        <w:ind w:left="1080" w:firstLine="0"/>
        <w:rPr>
          <w:rFonts w:ascii="Calibri" w:hAnsi="Calibri" w:cs="Calibri"/>
          <w:sz w:val="22"/>
        </w:rPr>
      </w:pPr>
    </w:p>
    <w:p w14:paraId="28093EFE" w14:textId="77777777" w:rsidR="00CD1283" w:rsidRPr="00FF31CD" w:rsidRDefault="00CD1283" w:rsidP="00CD1283">
      <w:pPr>
        <w:pStyle w:val="ListParagraph"/>
        <w:numPr>
          <w:ilvl w:val="0"/>
          <w:numId w:val="1"/>
        </w:numPr>
        <w:rPr>
          <w:rFonts w:ascii="Calibri" w:hAnsi="Calibri" w:cs="Calibri"/>
          <w:sz w:val="22"/>
        </w:rPr>
      </w:pPr>
      <w:r w:rsidRPr="00FF31CD">
        <w:rPr>
          <w:rFonts w:ascii="Calibri" w:hAnsi="Calibri" w:cs="Calibri"/>
          <w:b/>
          <w:bCs/>
          <w:sz w:val="22"/>
        </w:rPr>
        <w:t>Strayer v. Wingate at Wyndham, et al</w:t>
      </w:r>
      <w:r w:rsidRPr="00FF31CD">
        <w:rPr>
          <w:rFonts w:ascii="Calibri" w:hAnsi="Calibri" w:cs="Calibri"/>
          <w:sz w:val="22"/>
        </w:rPr>
        <w:t xml:space="preserve">, 2024 WL 207497 Superior Crt., N.J., App. Div. (01/19/2024). The plaintiff was a guest of the defendant hotel.  Richard Sperazza, the plaintiff, sued to recover for his alleged injuries for negligent infliction of emotional distress when he woke up to find the body of his murdered friend, Strayer, in the hotel room he shared while on a work assignment. The hotel had given the key to the room to another crew member who entered the room when plaintiff was not there and shot the roommate  with a handgun. When the plaintiff returned to the room late at night, he noticed the deceased in the room and assumed he was sleeping so he didn’t turn on the lights. When the plaintiff awoke the next morning, he noticed Strayer was still in bed which was unusual for him. He touched the body, and it was cold. The crew member was arrested and convicted for the murder. The plaintiff argued that the hotel was negligent in its distribution of the key card and sued for one count of negligent infliction of emotional distress and another count for his own safety fears. One of the elements of the first cause of action or injury to owners is “a marital or intimate familial relationship between plaintiff and the injured party.”  The court stated that this element was missing. As to fear for his own safety, an element is that the plaintiff must be in the “zone of danger.” The court determined that the plaintiff could not prove a reasonable fee of immediate personal injury because he was not present when the shooting occurred, and was not aware that the roommate was murdered until later in the day. The lower court’s judgment for dismissal of plaintiff’s claims was affirmed. </w:t>
      </w:r>
    </w:p>
    <w:p w14:paraId="3E629D67" w14:textId="77777777" w:rsidR="00CD1283" w:rsidRPr="00FF31CD" w:rsidRDefault="00CD1283" w:rsidP="00CD1283">
      <w:pPr>
        <w:pStyle w:val="ListParagraph"/>
        <w:ind w:left="1080" w:firstLine="0"/>
        <w:rPr>
          <w:rFonts w:ascii="Calibri" w:hAnsi="Calibri" w:cs="Calibri"/>
          <w:sz w:val="22"/>
        </w:rPr>
      </w:pPr>
    </w:p>
    <w:p w14:paraId="0B075C01" w14:textId="77777777" w:rsidR="00A75E42" w:rsidRPr="00FF31CD" w:rsidRDefault="00A75E42" w:rsidP="002B7A8D">
      <w:pPr>
        <w:pStyle w:val="ListParagraph"/>
        <w:ind w:left="900" w:hanging="810"/>
        <w:rPr>
          <w:rFonts w:ascii="Calibri" w:hAnsi="Calibri" w:cs="Calibri"/>
          <w:b/>
          <w:bCs/>
          <w:szCs w:val="24"/>
        </w:rPr>
      </w:pPr>
    </w:p>
    <w:p w14:paraId="550E8124" w14:textId="415E4887" w:rsidR="00432A79" w:rsidRPr="00FF31CD" w:rsidRDefault="00432A79" w:rsidP="002B7A8D">
      <w:pPr>
        <w:pStyle w:val="ListParagraph"/>
        <w:ind w:left="900" w:hanging="810"/>
        <w:rPr>
          <w:rFonts w:ascii="Calibri" w:hAnsi="Calibri" w:cs="Calibri"/>
          <w:b/>
          <w:bCs/>
          <w:szCs w:val="24"/>
        </w:rPr>
      </w:pPr>
      <w:r w:rsidRPr="00FF31CD">
        <w:rPr>
          <w:rFonts w:ascii="Calibri" w:hAnsi="Calibri" w:cs="Calibri"/>
          <w:b/>
          <w:bCs/>
          <w:szCs w:val="24"/>
        </w:rPr>
        <w:t>Negligence – Food</w:t>
      </w:r>
    </w:p>
    <w:p w14:paraId="277F3957" w14:textId="77777777" w:rsidR="00432A79" w:rsidRPr="00FF31CD" w:rsidRDefault="00432A79" w:rsidP="002B7A8D">
      <w:pPr>
        <w:pStyle w:val="ListParagraph"/>
        <w:ind w:left="900" w:hanging="810"/>
        <w:rPr>
          <w:rFonts w:ascii="Calibri" w:hAnsi="Calibri" w:cs="Calibri"/>
          <w:b/>
          <w:bCs/>
          <w:szCs w:val="24"/>
        </w:rPr>
      </w:pPr>
    </w:p>
    <w:p w14:paraId="6B06427A" w14:textId="77777777" w:rsidR="00532787" w:rsidRPr="00FF31CD" w:rsidRDefault="00532787" w:rsidP="00532787">
      <w:pPr>
        <w:pStyle w:val="ListParagraph"/>
        <w:numPr>
          <w:ilvl w:val="0"/>
          <w:numId w:val="1"/>
        </w:numPr>
        <w:rPr>
          <w:rFonts w:ascii="Calibri" w:hAnsi="Calibri" w:cs="Calibri"/>
          <w:b/>
          <w:bCs/>
          <w:sz w:val="22"/>
        </w:rPr>
      </w:pPr>
      <w:r w:rsidRPr="00FF31CD">
        <w:rPr>
          <w:rFonts w:ascii="Calibri" w:hAnsi="Calibri" w:cs="Calibri"/>
          <w:b/>
          <w:bCs/>
          <w:sz w:val="22"/>
        </w:rPr>
        <w:t xml:space="preserve">Whitlock v. Whataburger #481 et seq, </w:t>
      </w:r>
      <w:r w:rsidRPr="00FF31CD">
        <w:rPr>
          <w:rFonts w:ascii="Calibri" w:hAnsi="Calibri" w:cs="Calibri"/>
          <w:sz w:val="22"/>
        </w:rPr>
        <w:t>2025 WL 1073406 (Tex. App., 4/10.2025).  Plaintiff contracted severe food poisoning after eating a grilled chicken salad served by Whataburger.  He sued for negligence, strict liability, breach of warranty, and deceptive trade practices.  Plaintiff’s expert doctor identified the chicken salad as the cause of the poisoning.  His opinion was based on the timing between the food ingestion and the onset of symptoms, and the “well known” association between poultry meat and the type of food poisoning plaintiff had.  However, in his deposition the doctor identified many other sources of the poisoning including water, other meats fruits and vegetables.  Additionally, the doctor noted that plaintiff had eaten a “variety of foods” prior to becoming ill.  The court thus rejected the doctor’s causation testimony as unreliable, and granted Whataburger’s motion for summary judgment.  The appeals court affirmed</w:t>
      </w:r>
      <w:r w:rsidRPr="00FF31CD">
        <w:rPr>
          <w:rFonts w:ascii="Calibri" w:hAnsi="Calibri" w:cs="Calibri"/>
          <w:b/>
          <w:bCs/>
          <w:sz w:val="22"/>
        </w:rPr>
        <w:t xml:space="preserve">. </w:t>
      </w:r>
    </w:p>
    <w:p w14:paraId="11214D1C" w14:textId="77777777" w:rsidR="00532787" w:rsidRPr="00FF31CD" w:rsidRDefault="00532787" w:rsidP="00532787">
      <w:pPr>
        <w:pStyle w:val="ListParagraph"/>
        <w:ind w:left="1080" w:firstLine="0"/>
        <w:rPr>
          <w:rFonts w:ascii="Calibri" w:hAnsi="Calibri" w:cs="Calibri"/>
          <w:b/>
          <w:bCs/>
          <w:sz w:val="22"/>
        </w:rPr>
      </w:pPr>
    </w:p>
    <w:p w14:paraId="713C35D5" w14:textId="666105AD" w:rsidR="00532787" w:rsidRPr="00FF31CD" w:rsidRDefault="00532787" w:rsidP="00532787">
      <w:pPr>
        <w:pStyle w:val="ListParagraph"/>
        <w:numPr>
          <w:ilvl w:val="0"/>
          <w:numId w:val="1"/>
        </w:numPr>
        <w:rPr>
          <w:rFonts w:ascii="Calibri" w:hAnsi="Calibri" w:cs="Calibri"/>
          <w:b/>
          <w:bCs/>
          <w:sz w:val="22"/>
        </w:rPr>
      </w:pPr>
      <w:r w:rsidRPr="00FF31CD">
        <w:rPr>
          <w:rFonts w:ascii="Calibri" w:hAnsi="Calibri" w:cs="Calibri"/>
          <w:b/>
          <w:bCs/>
          <w:sz w:val="22"/>
        </w:rPr>
        <w:t xml:space="preserve">Paley v. Nobu Restaurant, </w:t>
      </w:r>
      <w:r w:rsidRPr="00FF31CD">
        <w:rPr>
          <w:rFonts w:ascii="Calibri" w:hAnsi="Calibri" w:cs="Calibri"/>
          <w:sz w:val="22"/>
        </w:rPr>
        <w:t xml:space="preserve">2025 WL 1014244 (Sup. Crt., NV, 4/1/2025).  Plaintiff became ill after eating at defendant restaurant.  The jury returned a verdict of no liability and plaintiff </w:t>
      </w:r>
      <w:r w:rsidRPr="00FF31CD">
        <w:rPr>
          <w:rFonts w:ascii="Calibri" w:hAnsi="Calibri" w:cs="Calibri"/>
          <w:sz w:val="22"/>
        </w:rPr>
        <w:lastRenderedPageBreak/>
        <w:t xml:space="preserve">appeals.  Plaintiff argued that defendant’s failure to produce the logs showing the storage temperatures of the foods plaintiff ordered constitutes spoilation.  As a result, plaintiff argues, the judge erred in giving the jury an adverse inference instruction; instead, plaintiff argued, it should have been a rebuttable presumption.  The court determined the failure to produce the temperature logs was </w:t>
      </w:r>
      <w:r w:rsidR="009147E7" w:rsidRPr="00FF31CD">
        <w:rPr>
          <w:rFonts w:ascii="Calibri" w:hAnsi="Calibri" w:cs="Calibri"/>
          <w:sz w:val="22"/>
        </w:rPr>
        <w:t>negligent,</w:t>
      </w:r>
      <w:r w:rsidRPr="00FF31CD">
        <w:rPr>
          <w:rFonts w:ascii="Calibri" w:hAnsi="Calibri" w:cs="Calibri"/>
          <w:sz w:val="22"/>
        </w:rPr>
        <w:t xml:space="preserve"> not willful and intentional.  Therefore, the appeals court upheld the adverse inference instruction.</w:t>
      </w:r>
      <w:r w:rsidRPr="00FF31CD">
        <w:rPr>
          <w:rFonts w:ascii="Calibri" w:hAnsi="Calibri" w:cs="Calibri"/>
          <w:b/>
          <w:bCs/>
          <w:sz w:val="22"/>
        </w:rPr>
        <w:t xml:space="preserve"> </w:t>
      </w:r>
    </w:p>
    <w:p w14:paraId="2DEA1E59" w14:textId="77777777" w:rsidR="00532787" w:rsidRPr="00FF31CD" w:rsidRDefault="00532787" w:rsidP="00532787">
      <w:pPr>
        <w:pStyle w:val="ListParagraph"/>
        <w:rPr>
          <w:rFonts w:ascii="Calibri" w:hAnsi="Calibri" w:cs="Calibri"/>
          <w:b/>
          <w:bCs/>
          <w:sz w:val="22"/>
        </w:rPr>
      </w:pPr>
    </w:p>
    <w:p w14:paraId="045F6707" w14:textId="24D8A578" w:rsidR="00432A79" w:rsidRPr="00FF31CD" w:rsidRDefault="00432A79" w:rsidP="00532787">
      <w:pPr>
        <w:pStyle w:val="ListParagraph"/>
        <w:ind w:left="1080" w:firstLine="0"/>
        <w:rPr>
          <w:rFonts w:ascii="Calibri" w:hAnsi="Calibri" w:cs="Calibri"/>
          <w:b/>
          <w:bCs/>
          <w:sz w:val="22"/>
        </w:rPr>
      </w:pPr>
    </w:p>
    <w:p w14:paraId="55A3D806" w14:textId="3055579A" w:rsidR="002A606D" w:rsidRPr="00FF31CD" w:rsidRDefault="002A606D" w:rsidP="002B7A8D">
      <w:pPr>
        <w:pStyle w:val="ListParagraph"/>
        <w:ind w:left="900" w:hanging="810"/>
        <w:rPr>
          <w:rFonts w:ascii="Calibri" w:hAnsi="Calibri" w:cs="Calibri"/>
          <w:b/>
          <w:bCs/>
          <w:szCs w:val="24"/>
        </w:rPr>
      </w:pPr>
      <w:r w:rsidRPr="00FF31CD">
        <w:rPr>
          <w:rFonts w:ascii="Calibri" w:hAnsi="Calibri" w:cs="Calibri"/>
          <w:b/>
          <w:bCs/>
          <w:szCs w:val="24"/>
        </w:rPr>
        <w:t>Negligence – Open and Obvious</w:t>
      </w:r>
    </w:p>
    <w:p w14:paraId="51A4BB15" w14:textId="77777777" w:rsidR="0087637B" w:rsidRPr="00FF31CD" w:rsidRDefault="0087637B" w:rsidP="002B7A8D">
      <w:pPr>
        <w:pStyle w:val="ListParagraph"/>
        <w:ind w:left="900" w:hanging="810"/>
        <w:rPr>
          <w:rFonts w:ascii="Calibri" w:hAnsi="Calibri" w:cs="Calibri"/>
          <w:b/>
          <w:bCs/>
          <w:szCs w:val="24"/>
        </w:rPr>
      </w:pPr>
    </w:p>
    <w:p w14:paraId="030EB610" w14:textId="0E3BF524" w:rsidR="002B7A8D" w:rsidRPr="00FF31CD" w:rsidRDefault="002B7A8D" w:rsidP="008F0555">
      <w:pPr>
        <w:pStyle w:val="ListParagraph"/>
        <w:numPr>
          <w:ilvl w:val="0"/>
          <w:numId w:val="1"/>
        </w:numPr>
        <w:rPr>
          <w:rFonts w:ascii="Calibri" w:hAnsi="Calibri" w:cs="Calibri"/>
          <w:b/>
          <w:bCs/>
          <w:sz w:val="22"/>
        </w:rPr>
      </w:pPr>
      <w:r w:rsidRPr="00FF31CD">
        <w:rPr>
          <w:rFonts w:ascii="Calibri" w:hAnsi="Calibri" w:cs="Calibri"/>
          <w:b/>
          <w:bCs/>
          <w:szCs w:val="24"/>
        </w:rPr>
        <w:t xml:space="preserve"> </w:t>
      </w:r>
      <w:r w:rsidRPr="00FF31CD">
        <w:rPr>
          <w:rFonts w:ascii="Calibri" w:hAnsi="Calibri" w:cs="Calibri"/>
          <w:b/>
          <w:bCs/>
          <w:sz w:val="22"/>
        </w:rPr>
        <w:t>Minerva v. Mohegan Tribal Gaming Authority</w:t>
      </w:r>
      <w:r w:rsidR="00590950" w:rsidRPr="00FF31CD">
        <w:rPr>
          <w:rFonts w:ascii="Calibri" w:hAnsi="Calibri" w:cs="Calibri"/>
          <w:b/>
          <w:bCs/>
          <w:sz w:val="22"/>
        </w:rPr>
        <w:t xml:space="preserve">, </w:t>
      </w:r>
      <w:r w:rsidR="00E93F2D" w:rsidRPr="00FF31CD">
        <w:rPr>
          <w:rFonts w:ascii="Calibri" w:hAnsi="Calibri" w:cs="Calibri"/>
          <w:b/>
          <w:bCs/>
          <w:sz w:val="22"/>
        </w:rPr>
        <w:t>No. GDTC-T-16-116</w:t>
      </w:r>
      <w:r w:rsidR="00D91F07" w:rsidRPr="00FF31CD">
        <w:rPr>
          <w:rFonts w:ascii="Calibri" w:hAnsi="Calibri" w:cs="Calibri"/>
          <w:b/>
          <w:bCs/>
          <w:sz w:val="22"/>
        </w:rPr>
        <w:t xml:space="preserve">-JAM, </w:t>
      </w:r>
      <w:r w:rsidR="00590950" w:rsidRPr="00FF31CD">
        <w:rPr>
          <w:rFonts w:ascii="Calibri" w:hAnsi="Calibri" w:cs="Calibri"/>
          <w:sz w:val="22"/>
        </w:rPr>
        <w:t>Mohegan Gaming Disputes Court (</w:t>
      </w:r>
      <w:r w:rsidR="00C32AC1" w:rsidRPr="00FF31CD">
        <w:rPr>
          <w:rFonts w:ascii="Calibri" w:hAnsi="Calibri" w:cs="Calibri"/>
          <w:sz w:val="22"/>
        </w:rPr>
        <w:t>06/04/2024).</w:t>
      </w:r>
      <w:r w:rsidR="00FE1E77" w:rsidRPr="00FF31CD">
        <w:rPr>
          <w:rFonts w:ascii="Calibri" w:hAnsi="Calibri" w:cs="Calibri"/>
          <w:sz w:val="22"/>
        </w:rPr>
        <w:t xml:space="preserve"> Plaintiff</w:t>
      </w:r>
      <w:r w:rsidR="00D91F07" w:rsidRPr="00FF31CD">
        <w:rPr>
          <w:rFonts w:ascii="Calibri" w:hAnsi="Calibri" w:cs="Calibri"/>
          <w:sz w:val="22"/>
        </w:rPr>
        <w:t xml:space="preserve">, a </w:t>
      </w:r>
      <w:r w:rsidR="001A6163" w:rsidRPr="00FF31CD">
        <w:rPr>
          <w:rFonts w:ascii="Calibri" w:hAnsi="Calibri" w:cs="Calibri"/>
          <w:sz w:val="22"/>
        </w:rPr>
        <w:t>guest,</w:t>
      </w:r>
      <w:r w:rsidR="00D91F07" w:rsidRPr="00FF31CD">
        <w:rPr>
          <w:rFonts w:ascii="Calibri" w:hAnsi="Calibri" w:cs="Calibri"/>
          <w:sz w:val="22"/>
        </w:rPr>
        <w:t xml:space="preserve"> and business invitee at the Mohegan Sun Casino</w:t>
      </w:r>
      <w:r w:rsidR="00FE1E77" w:rsidRPr="00FF31CD">
        <w:rPr>
          <w:rFonts w:ascii="Calibri" w:hAnsi="Calibri" w:cs="Calibri"/>
          <w:sz w:val="22"/>
        </w:rPr>
        <w:t xml:space="preserve"> </w:t>
      </w:r>
      <w:r w:rsidR="000E2257" w:rsidRPr="00FF31CD">
        <w:rPr>
          <w:rFonts w:ascii="Calibri" w:hAnsi="Calibri" w:cs="Calibri"/>
          <w:sz w:val="22"/>
        </w:rPr>
        <w:t xml:space="preserve">slipped and fell in a </w:t>
      </w:r>
      <w:r w:rsidR="00FE4913" w:rsidRPr="00FF31CD">
        <w:rPr>
          <w:rFonts w:ascii="Calibri" w:hAnsi="Calibri" w:cs="Calibri"/>
          <w:sz w:val="22"/>
        </w:rPr>
        <w:t xml:space="preserve">visible </w:t>
      </w:r>
      <w:r w:rsidR="000E2257" w:rsidRPr="00FF31CD">
        <w:rPr>
          <w:rFonts w:ascii="Calibri" w:hAnsi="Calibri" w:cs="Calibri"/>
          <w:sz w:val="22"/>
        </w:rPr>
        <w:t xml:space="preserve">puddle of water in the </w:t>
      </w:r>
      <w:r w:rsidR="004074D1" w:rsidRPr="00FF31CD">
        <w:rPr>
          <w:rFonts w:ascii="Calibri" w:hAnsi="Calibri" w:cs="Calibri"/>
          <w:sz w:val="22"/>
        </w:rPr>
        <w:t>lobby</w:t>
      </w:r>
      <w:r w:rsidR="000E2257" w:rsidRPr="00FF31CD">
        <w:rPr>
          <w:rFonts w:ascii="Calibri" w:hAnsi="Calibri" w:cs="Calibri"/>
          <w:sz w:val="22"/>
        </w:rPr>
        <w:t xml:space="preserve"> </w:t>
      </w:r>
      <w:r w:rsidR="00FE4913" w:rsidRPr="00FF31CD">
        <w:rPr>
          <w:rFonts w:ascii="Calibri" w:hAnsi="Calibri" w:cs="Calibri"/>
          <w:sz w:val="22"/>
        </w:rPr>
        <w:t>near the concierge desk</w:t>
      </w:r>
      <w:r w:rsidR="004074D1" w:rsidRPr="00FF31CD">
        <w:rPr>
          <w:rFonts w:ascii="Calibri" w:hAnsi="Calibri" w:cs="Calibri"/>
          <w:sz w:val="22"/>
        </w:rPr>
        <w:t xml:space="preserve"> sustaining personal injuries. </w:t>
      </w:r>
      <w:r w:rsidR="003135B2" w:rsidRPr="00FF31CD">
        <w:rPr>
          <w:rFonts w:ascii="Calibri" w:hAnsi="Calibri" w:cs="Calibri"/>
          <w:sz w:val="22"/>
        </w:rPr>
        <w:t xml:space="preserve">The plaintiff filed a claim for negligence and the defendant countered with a clam that the Plaintiff herself was negligent by not observing her surroundings and vailing to avoid the liquid. </w:t>
      </w:r>
      <w:r w:rsidR="00963B03" w:rsidRPr="00FF31CD">
        <w:rPr>
          <w:rFonts w:ascii="Calibri" w:hAnsi="Calibri" w:cs="Calibri"/>
          <w:sz w:val="22"/>
        </w:rPr>
        <w:t xml:space="preserve">The court </w:t>
      </w:r>
      <w:r w:rsidR="00ED7712" w:rsidRPr="00FF31CD">
        <w:rPr>
          <w:rFonts w:ascii="Calibri" w:hAnsi="Calibri" w:cs="Calibri"/>
          <w:sz w:val="22"/>
        </w:rPr>
        <w:t>stated that there was constructive notice of the liquid substance on the floor and the issue was whether it existed for such a duration of time that defendant’s employees should have discovered it.</w:t>
      </w:r>
      <w:r w:rsidR="00CF3B82" w:rsidRPr="00FF31CD">
        <w:rPr>
          <w:rFonts w:ascii="Calibri" w:hAnsi="Calibri" w:cs="Calibri"/>
          <w:sz w:val="22"/>
        </w:rPr>
        <w:t xml:space="preserve"> Video </w:t>
      </w:r>
      <w:r w:rsidR="008652F9" w:rsidRPr="00FF31CD">
        <w:rPr>
          <w:rFonts w:ascii="Calibri" w:hAnsi="Calibri" w:cs="Calibri"/>
          <w:sz w:val="22"/>
        </w:rPr>
        <w:t>footage</w:t>
      </w:r>
      <w:r w:rsidR="00CF3B82" w:rsidRPr="00FF31CD">
        <w:rPr>
          <w:rFonts w:ascii="Calibri" w:hAnsi="Calibri" w:cs="Calibri"/>
          <w:sz w:val="22"/>
        </w:rPr>
        <w:t xml:space="preserve"> shows a Mohegan Environmental Services attendant</w:t>
      </w:r>
      <w:r w:rsidR="00086CA9" w:rsidRPr="00FF31CD">
        <w:rPr>
          <w:rFonts w:ascii="Calibri" w:hAnsi="Calibri" w:cs="Calibri"/>
          <w:sz w:val="22"/>
        </w:rPr>
        <w:t xml:space="preserve">(“EVS”) </w:t>
      </w:r>
      <w:r w:rsidR="00CF3B82" w:rsidRPr="00FF31CD">
        <w:rPr>
          <w:rFonts w:ascii="Calibri" w:hAnsi="Calibri" w:cs="Calibri"/>
          <w:sz w:val="22"/>
        </w:rPr>
        <w:t xml:space="preserve"> was posted in the lobby are</w:t>
      </w:r>
      <w:r w:rsidR="00086CA9" w:rsidRPr="00FF31CD">
        <w:rPr>
          <w:rFonts w:ascii="Calibri" w:hAnsi="Calibri" w:cs="Calibri"/>
          <w:sz w:val="22"/>
        </w:rPr>
        <w:t>a</w:t>
      </w:r>
      <w:r w:rsidR="00CF3B82" w:rsidRPr="00FF31CD">
        <w:rPr>
          <w:rFonts w:ascii="Calibri" w:hAnsi="Calibri" w:cs="Calibri"/>
          <w:sz w:val="22"/>
        </w:rPr>
        <w:t xml:space="preserve"> at the time of the fall and is seen in the video traversing the area where the plaintiff fell just prior to the time of the incident.</w:t>
      </w:r>
      <w:r w:rsidR="008652F9" w:rsidRPr="00FF31CD">
        <w:rPr>
          <w:rFonts w:ascii="Calibri" w:hAnsi="Calibri" w:cs="Calibri"/>
          <w:sz w:val="22"/>
        </w:rPr>
        <w:t xml:space="preserve"> The court found the defendant liable for the plaintiff’s injuries stating that the EVS attendant should  have noticed and addressed the puddle.</w:t>
      </w:r>
      <w:r w:rsidR="00086CA9" w:rsidRPr="00FF31CD">
        <w:rPr>
          <w:rFonts w:ascii="Calibri" w:hAnsi="Calibri" w:cs="Calibri"/>
          <w:sz w:val="22"/>
        </w:rPr>
        <w:t xml:space="preserve"> The court assessed damages finding 33% comparative negligence on the plaintiff’s part</w:t>
      </w:r>
      <w:r w:rsidR="00A431D2" w:rsidRPr="00FF31CD">
        <w:rPr>
          <w:rFonts w:ascii="Calibri" w:hAnsi="Calibri" w:cs="Calibri"/>
          <w:sz w:val="22"/>
        </w:rPr>
        <w:t>.</w:t>
      </w:r>
    </w:p>
    <w:p w14:paraId="18B5011C" w14:textId="77777777" w:rsidR="00D07EA9" w:rsidRPr="00FF31CD" w:rsidRDefault="00D07EA9">
      <w:pPr>
        <w:rPr>
          <w:rFonts w:ascii="Calibri" w:hAnsi="Calibri" w:cs="Calibri"/>
          <w:b/>
          <w:bCs/>
          <w:sz w:val="24"/>
          <w:szCs w:val="24"/>
        </w:rPr>
      </w:pPr>
    </w:p>
    <w:p w14:paraId="295FCFD4" w14:textId="137F6A89" w:rsidR="000E0072" w:rsidRPr="00FF31CD" w:rsidRDefault="000E0072">
      <w:pPr>
        <w:rPr>
          <w:rFonts w:ascii="Calibri" w:hAnsi="Calibri" w:cs="Calibri"/>
          <w:b/>
          <w:bCs/>
          <w:sz w:val="24"/>
          <w:szCs w:val="24"/>
        </w:rPr>
      </w:pPr>
      <w:r w:rsidRPr="00FF31CD">
        <w:rPr>
          <w:rFonts w:ascii="Calibri" w:hAnsi="Calibri" w:cs="Calibri"/>
          <w:b/>
          <w:bCs/>
          <w:sz w:val="24"/>
          <w:szCs w:val="24"/>
        </w:rPr>
        <w:t>Negligence – Premises Liability</w:t>
      </w:r>
    </w:p>
    <w:p w14:paraId="7A2CF828" w14:textId="77777777" w:rsidR="001B5D91" w:rsidRPr="00FF31CD" w:rsidRDefault="001B5D91" w:rsidP="008F0555">
      <w:pPr>
        <w:pStyle w:val="ListParagraph"/>
        <w:numPr>
          <w:ilvl w:val="0"/>
          <w:numId w:val="1"/>
        </w:numPr>
        <w:rPr>
          <w:rFonts w:ascii="Calibri" w:hAnsi="Calibri" w:cs="Calibri"/>
          <w:sz w:val="22"/>
        </w:rPr>
      </w:pPr>
      <w:r w:rsidRPr="00FF31CD">
        <w:rPr>
          <w:rFonts w:ascii="Calibri" w:hAnsi="Calibri" w:cs="Calibri"/>
          <w:b/>
          <w:bCs/>
          <w:sz w:val="22"/>
        </w:rPr>
        <w:t>Wilson v. CHA Galleria, LP, et al</w:t>
      </w:r>
      <w:r w:rsidRPr="00FF31CD">
        <w:rPr>
          <w:rFonts w:ascii="Calibri" w:hAnsi="Calibri" w:cs="Calibri"/>
          <w:sz w:val="22"/>
        </w:rPr>
        <w:t>, No. 3:23-CV215D, U.S. District Court, N.DC., Texas (05/07/2024). Plaintiff Abbey Wilson sued DoubleTree Hotel by Hilton Dallas Near the Galleria ("DoubleTree") and Tim Godsey for injuries sustained from a sexual assault allegedly committed by Godsey at the hotel. Wilson's claims against DoubleTree were for negligence and premises liability. After the court granted DoubleTree's motion to dismiss Wilson's first amended complaint, Wilson filed a second amended complaint alleging common-law claims against Godsey for assault, sexual assault, battery, and false imprisonment, as well as negligence and premises liability claims against DoubleTree. DoubleTree moved to dismiss Wilson's negligence and premises liability claims under Rule 12(b)(6) for failure to state a claim. The court granted defendants’ motion, dismissing Wilson's action against DoubleTree with prejudice. The court ruled that Wilson's claims were barred by the Texas Dram Shop Act, which provides the exclusive cause of action against alcohol providers for injuries resulting from the intoxication of a patron. Since DoubleTree was considered an alcohol provider and Wilson was over 18 years old at the time, her negligence and premises liability claims against DoubleTree were preempted by the Dram Shop Act. Therefore, the court dismissed Wilson's claims against DoubleTree with prejudice.</w:t>
      </w:r>
    </w:p>
    <w:p w14:paraId="2D80C1E6" w14:textId="77777777" w:rsidR="001B5D91" w:rsidRPr="00FF31CD" w:rsidRDefault="001B5D91" w:rsidP="001B5D91">
      <w:pPr>
        <w:pStyle w:val="ListParagraph"/>
        <w:ind w:left="1080" w:firstLine="0"/>
        <w:rPr>
          <w:rFonts w:ascii="Calibri" w:hAnsi="Calibri" w:cs="Calibri"/>
          <w:sz w:val="22"/>
        </w:rPr>
      </w:pPr>
    </w:p>
    <w:p w14:paraId="6A6402DE" w14:textId="5863D52B" w:rsidR="0066481C" w:rsidRPr="00FF31CD" w:rsidRDefault="002942E2" w:rsidP="001529A7">
      <w:pPr>
        <w:pStyle w:val="ListParagraph"/>
        <w:numPr>
          <w:ilvl w:val="0"/>
          <w:numId w:val="1"/>
        </w:numPr>
        <w:rPr>
          <w:rFonts w:ascii="Calibri" w:hAnsi="Calibri" w:cs="Calibri"/>
          <w:sz w:val="22"/>
        </w:rPr>
      </w:pPr>
      <w:r w:rsidRPr="00FF31CD">
        <w:rPr>
          <w:rFonts w:ascii="Calibri" w:hAnsi="Calibri" w:cs="Calibri"/>
          <w:b/>
          <w:bCs/>
          <w:sz w:val="22"/>
        </w:rPr>
        <w:t>Oil</w:t>
      </w:r>
      <w:r w:rsidR="00266ED6" w:rsidRPr="00FF31CD">
        <w:rPr>
          <w:rFonts w:ascii="Calibri" w:hAnsi="Calibri" w:cs="Calibri"/>
          <w:b/>
          <w:bCs/>
          <w:sz w:val="22"/>
        </w:rPr>
        <w:t xml:space="preserve"> </w:t>
      </w:r>
      <w:r w:rsidR="000B0FA7" w:rsidRPr="00FF31CD">
        <w:rPr>
          <w:rFonts w:ascii="Calibri" w:hAnsi="Calibri" w:cs="Calibri"/>
          <w:b/>
          <w:bCs/>
          <w:sz w:val="22"/>
        </w:rPr>
        <w:t>Thames v. Bally’s Park Place, LLC et al</w:t>
      </w:r>
      <w:r w:rsidR="000B0FA7" w:rsidRPr="00FF31CD">
        <w:rPr>
          <w:rFonts w:ascii="Calibri" w:hAnsi="Calibri" w:cs="Calibri"/>
          <w:sz w:val="22"/>
        </w:rPr>
        <w:t>, Civil No. 21-1876 U.S. Dist. Ct., D. N J (06/17/2024).</w:t>
      </w:r>
      <w:r w:rsidR="0066481C" w:rsidRPr="00FF31CD">
        <w:rPr>
          <w:rFonts w:ascii="Calibri" w:eastAsia="Times New Roman" w:hAnsi="Calibri" w:cs="Calibri"/>
          <w:sz w:val="22"/>
        </w:rPr>
        <w:t xml:space="preserve"> Plaintiff brough</w:t>
      </w:r>
      <w:r w:rsidR="00FE78D0" w:rsidRPr="00FF31CD">
        <w:rPr>
          <w:rFonts w:ascii="Calibri" w:eastAsia="Times New Roman" w:hAnsi="Calibri" w:cs="Calibri"/>
          <w:sz w:val="22"/>
        </w:rPr>
        <w:t>t</w:t>
      </w:r>
      <w:r w:rsidR="0066481C" w:rsidRPr="00FF31CD">
        <w:rPr>
          <w:rFonts w:ascii="Calibri" w:eastAsia="Times New Roman" w:hAnsi="Calibri" w:cs="Calibri"/>
          <w:sz w:val="22"/>
        </w:rPr>
        <w:t xml:space="preserve"> </w:t>
      </w:r>
      <w:r w:rsidR="0066481C" w:rsidRPr="00FF31CD">
        <w:rPr>
          <w:rFonts w:ascii="Calibri" w:hAnsi="Calibri" w:cs="Calibri"/>
          <w:sz w:val="22"/>
        </w:rPr>
        <w:t xml:space="preserve">a negligence claim after she sustained severe injuries from falling off the roof of Bally's Wild West Casino in Atlantic City. The incident occurred on April 7, 2019, </w:t>
      </w:r>
      <w:r w:rsidR="005200FC" w:rsidRPr="00FF31CD">
        <w:rPr>
          <w:rFonts w:ascii="Calibri" w:hAnsi="Calibri" w:cs="Calibri"/>
          <w:sz w:val="22"/>
        </w:rPr>
        <w:t>and the plaintiff,</w:t>
      </w:r>
      <w:r w:rsidR="0066481C" w:rsidRPr="00FF31CD">
        <w:rPr>
          <w:rFonts w:ascii="Calibri" w:hAnsi="Calibri" w:cs="Calibri"/>
          <w:sz w:val="22"/>
        </w:rPr>
        <w:t xml:space="preserve"> who had been drinking at the casino, fled from a security officer, accessed the roof </w:t>
      </w:r>
      <w:r w:rsidR="0066481C" w:rsidRPr="00FF31CD">
        <w:rPr>
          <w:rFonts w:ascii="Calibri" w:hAnsi="Calibri" w:cs="Calibri"/>
          <w:sz w:val="22"/>
        </w:rPr>
        <w:lastRenderedPageBreak/>
        <w:t>through an unalarmed door, and then fell while attempting to climb down the building. The defendants</w:t>
      </w:r>
      <w:r w:rsidR="005200FC" w:rsidRPr="00FF31CD">
        <w:rPr>
          <w:rFonts w:ascii="Calibri" w:hAnsi="Calibri" w:cs="Calibri"/>
          <w:sz w:val="22"/>
        </w:rPr>
        <w:t xml:space="preserve"> </w:t>
      </w:r>
      <w:r w:rsidR="0066481C" w:rsidRPr="00FF31CD">
        <w:rPr>
          <w:rFonts w:ascii="Calibri" w:hAnsi="Calibri" w:cs="Calibri"/>
          <w:sz w:val="22"/>
        </w:rPr>
        <w:t xml:space="preserve">sought to exclude the expert testimony of Russell Kolins, </w:t>
      </w:r>
      <w:r w:rsidR="005200FC" w:rsidRPr="00FF31CD">
        <w:rPr>
          <w:rFonts w:ascii="Calibri" w:hAnsi="Calibri" w:cs="Calibri"/>
          <w:sz w:val="22"/>
        </w:rPr>
        <w:t>the plaintiff’s</w:t>
      </w:r>
      <w:r w:rsidR="0066481C" w:rsidRPr="00FF31CD">
        <w:rPr>
          <w:rFonts w:ascii="Calibri" w:hAnsi="Calibri" w:cs="Calibri"/>
          <w:sz w:val="22"/>
        </w:rPr>
        <w:t xml:space="preserve"> security expert, and also moved for summary judgment, arguing that they were not </w:t>
      </w:r>
      <w:r w:rsidR="00D108A9" w:rsidRPr="00FF31CD">
        <w:rPr>
          <w:rFonts w:ascii="Calibri" w:hAnsi="Calibri" w:cs="Calibri"/>
          <w:sz w:val="22"/>
        </w:rPr>
        <w:t>negligent,</w:t>
      </w:r>
      <w:r w:rsidR="0066481C" w:rsidRPr="00FF31CD">
        <w:rPr>
          <w:rFonts w:ascii="Calibri" w:hAnsi="Calibri" w:cs="Calibri"/>
          <w:sz w:val="22"/>
        </w:rPr>
        <w:t xml:space="preserve"> and that </w:t>
      </w:r>
      <w:r w:rsidR="005200FC" w:rsidRPr="00FF31CD">
        <w:rPr>
          <w:rFonts w:ascii="Calibri" w:hAnsi="Calibri" w:cs="Calibri"/>
          <w:sz w:val="22"/>
        </w:rPr>
        <w:t xml:space="preserve">the plaintiff </w:t>
      </w:r>
      <w:r w:rsidR="0066481C" w:rsidRPr="00FF31CD">
        <w:rPr>
          <w:rFonts w:ascii="Calibri" w:hAnsi="Calibri" w:cs="Calibri"/>
          <w:sz w:val="22"/>
        </w:rPr>
        <w:t xml:space="preserve">failed to present sufficient evidence of a dangerous condition or breach of duty. The court denied the defendants' motions. It found that Kolins' expert opinion was </w:t>
      </w:r>
      <w:r w:rsidR="005200FC" w:rsidRPr="00FF31CD">
        <w:rPr>
          <w:rFonts w:ascii="Calibri" w:hAnsi="Calibri" w:cs="Calibri"/>
          <w:sz w:val="22"/>
        </w:rPr>
        <w:t>admissible,</w:t>
      </w:r>
      <w:r w:rsidR="0066481C" w:rsidRPr="00FF31CD">
        <w:rPr>
          <w:rFonts w:ascii="Calibri" w:hAnsi="Calibri" w:cs="Calibri"/>
          <w:sz w:val="22"/>
        </w:rPr>
        <w:t xml:space="preserve"> and that </w:t>
      </w:r>
      <w:r w:rsidR="005200FC" w:rsidRPr="00FF31CD">
        <w:rPr>
          <w:rFonts w:ascii="Calibri" w:hAnsi="Calibri" w:cs="Calibri"/>
          <w:sz w:val="22"/>
        </w:rPr>
        <w:t xml:space="preserve">the plaintiff </w:t>
      </w:r>
      <w:r w:rsidR="0066481C" w:rsidRPr="00FF31CD">
        <w:rPr>
          <w:rFonts w:ascii="Calibri" w:hAnsi="Calibri" w:cs="Calibri"/>
          <w:sz w:val="22"/>
        </w:rPr>
        <w:t xml:space="preserve">had provided enough evidence to suggest that the casino might have been negligent in failing to secure the roof area, which had a history of similar incidents. The court also ruled that there were genuine issues of material fact regarding whether </w:t>
      </w:r>
      <w:r w:rsidR="005200FC" w:rsidRPr="00FF31CD">
        <w:rPr>
          <w:rFonts w:ascii="Calibri" w:hAnsi="Calibri" w:cs="Calibri"/>
          <w:sz w:val="22"/>
        </w:rPr>
        <w:t>the plaintiff</w:t>
      </w:r>
      <w:r w:rsidR="0066481C" w:rsidRPr="00FF31CD">
        <w:rPr>
          <w:rFonts w:ascii="Calibri" w:hAnsi="Calibri" w:cs="Calibri"/>
          <w:sz w:val="22"/>
        </w:rPr>
        <w:t xml:space="preserve"> was visibly intoxicated when she was served alcohol and whether the casino had actual or constructive notice of the dangerous condition, making summary judgment inappropriate. Thus, the case was allowed to proceed to trial, where these factual disputes could be resolved by a jury.</w:t>
      </w:r>
    </w:p>
    <w:p w14:paraId="3E8ACF59" w14:textId="77777777" w:rsidR="00E2493F" w:rsidRPr="00FF31CD" w:rsidRDefault="00E2493F" w:rsidP="00E2493F">
      <w:pPr>
        <w:pStyle w:val="ListParagraph"/>
        <w:ind w:left="1080" w:firstLine="0"/>
        <w:rPr>
          <w:rFonts w:ascii="Calibri" w:hAnsi="Calibri" w:cs="Calibri"/>
          <w:sz w:val="22"/>
        </w:rPr>
      </w:pPr>
    </w:p>
    <w:p w14:paraId="71CED675" w14:textId="77777777" w:rsidR="00DD7B08" w:rsidRPr="00FF31CD" w:rsidRDefault="00DD7B08" w:rsidP="00DD7B08">
      <w:pPr>
        <w:pStyle w:val="ListParagraph"/>
        <w:numPr>
          <w:ilvl w:val="0"/>
          <w:numId w:val="1"/>
        </w:numPr>
        <w:rPr>
          <w:rFonts w:ascii="Calibri" w:hAnsi="Calibri" w:cs="Calibri"/>
          <w:sz w:val="22"/>
        </w:rPr>
      </w:pPr>
      <w:r w:rsidRPr="00FF31CD">
        <w:rPr>
          <w:rFonts w:ascii="Calibri" w:hAnsi="Calibri" w:cs="Calibri"/>
          <w:b/>
          <w:bCs/>
          <w:sz w:val="22"/>
        </w:rPr>
        <w:t>Lasseter v. Jackson Hotel LLC,</w:t>
      </w:r>
      <w:r w:rsidRPr="00FF31CD">
        <w:rPr>
          <w:rFonts w:ascii="Calibri" w:hAnsi="Calibri" w:cs="Calibri"/>
          <w:sz w:val="22"/>
        </w:rPr>
        <w:t xml:space="preserve"> et al, 2024 WL 633132 Sup. Crt, Miss. (02/15/2024). The plaintiff, a 76-year-old guest of defendant’s hotel, injured himself while using his cane by tripping and falling on a transition strip adjoining a carpeted area leading to a tiled threshold in front of the hotel. Later that evening, the plaintiff’s wife visited the area and noticed a raise tip that was not secured to the floor. Plaintiff sued claiming the hotel breached its duty to keep the premises reasonably safe. The GM of the hotel testified that he walked the area numerous times a day and never noticed the defect. He was not aware of any concern with the area, and no one had tripped before. There was no evidence that the flooring was installed improperly. </w:t>
      </w:r>
    </w:p>
    <w:p w14:paraId="2B67DDA4" w14:textId="77777777" w:rsidR="00FD3D7B" w:rsidRPr="00FF31CD" w:rsidRDefault="00FD3D7B" w:rsidP="00FD3D7B">
      <w:pPr>
        <w:pStyle w:val="ListParagraph"/>
        <w:rPr>
          <w:rFonts w:ascii="Calibri" w:hAnsi="Calibri" w:cs="Calibri"/>
          <w:sz w:val="22"/>
        </w:rPr>
      </w:pPr>
    </w:p>
    <w:p w14:paraId="619850FD" w14:textId="77AF0A5C" w:rsidR="00FD3D7B" w:rsidRPr="00FF31CD" w:rsidRDefault="00835C30" w:rsidP="00DD7B08">
      <w:pPr>
        <w:pStyle w:val="ListParagraph"/>
        <w:numPr>
          <w:ilvl w:val="0"/>
          <w:numId w:val="1"/>
        </w:numPr>
        <w:rPr>
          <w:rFonts w:ascii="Calibri" w:hAnsi="Calibri" w:cs="Calibri"/>
          <w:sz w:val="22"/>
        </w:rPr>
      </w:pPr>
      <w:r w:rsidRPr="00FF31CD">
        <w:rPr>
          <w:rFonts w:ascii="Calibri" w:hAnsi="Calibri" w:cs="Calibri"/>
          <w:b/>
          <w:bCs/>
          <w:sz w:val="22"/>
        </w:rPr>
        <w:t xml:space="preserve">Woods v. Sing Szechuan Restaurant, </w:t>
      </w:r>
      <w:r w:rsidRPr="00FF31CD">
        <w:rPr>
          <w:rFonts w:ascii="Calibri" w:hAnsi="Calibri" w:cs="Calibri"/>
          <w:sz w:val="22"/>
        </w:rPr>
        <w:t>2025 WL  965825 (Appls. Crt., VA, 4/1/2025). Plaintiff was a food delivery driver who slipped and fell on ice on city sidewalk outside the restaurant.  She sued for her resulting injuries, arguing that the restaurant owed a duty to either ameliorate the icy conditions on the sidewalk or warn plaintiff about it. The court affirmed the trial court’s finding that the ice on which plaintiff fell was located on property owned by the city, not the restaurant, and plaintiff was not a business-invitee.  Further, snow-removal ordinance requiring landowners to keep city’s sidewalks free from snow and ice did not create a duty of care owed by the hotel to the plaintiff food delivery driver.</w:t>
      </w:r>
    </w:p>
    <w:p w14:paraId="77B6CE21" w14:textId="77777777" w:rsidR="00E2493F" w:rsidRPr="00FF31CD" w:rsidRDefault="00E2493F" w:rsidP="00DD7B08">
      <w:pPr>
        <w:pStyle w:val="ListParagraph"/>
        <w:ind w:left="1080" w:firstLine="0"/>
        <w:rPr>
          <w:rFonts w:ascii="Calibri" w:hAnsi="Calibri" w:cs="Calibri"/>
          <w:sz w:val="22"/>
        </w:rPr>
      </w:pPr>
    </w:p>
    <w:p w14:paraId="1541BCC3" w14:textId="77777777" w:rsidR="00EA153D" w:rsidRPr="00FF31CD" w:rsidRDefault="00EA153D" w:rsidP="00EA153D">
      <w:pPr>
        <w:pStyle w:val="ListParagraph"/>
        <w:ind w:left="1080" w:firstLine="0"/>
        <w:rPr>
          <w:rFonts w:ascii="Calibri" w:hAnsi="Calibri" w:cs="Calibri"/>
          <w:sz w:val="22"/>
        </w:rPr>
      </w:pPr>
    </w:p>
    <w:p w14:paraId="53FF4AB8" w14:textId="77777777" w:rsidR="00074A34" w:rsidRPr="00FF31CD" w:rsidRDefault="00074A34" w:rsidP="00074A34">
      <w:pPr>
        <w:pStyle w:val="ListParagraph"/>
        <w:ind w:left="900" w:hanging="810"/>
        <w:rPr>
          <w:rFonts w:ascii="Calibri" w:hAnsi="Calibri" w:cs="Calibri"/>
          <w:b/>
          <w:bCs/>
          <w:szCs w:val="24"/>
        </w:rPr>
      </w:pPr>
      <w:r w:rsidRPr="00FF31CD">
        <w:rPr>
          <w:rFonts w:ascii="Calibri" w:hAnsi="Calibri" w:cs="Calibri"/>
          <w:b/>
          <w:bCs/>
          <w:szCs w:val="24"/>
        </w:rPr>
        <w:t>Negligence – Sexual Assault</w:t>
      </w:r>
    </w:p>
    <w:p w14:paraId="2E0A02BE" w14:textId="77777777" w:rsidR="00074A34" w:rsidRPr="00FF31CD" w:rsidRDefault="00074A34" w:rsidP="00074A34">
      <w:pPr>
        <w:pStyle w:val="ListParagraph"/>
        <w:ind w:left="900" w:hanging="810"/>
        <w:rPr>
          <w:rFonts w:ascii="Calibri" w:hAnsi="Calibri" w:cs="Calibri"/>
          <w:b/>
          <w:bCs/>
          <w:szCs w:val="24"/>
        </w:rPr>
      </w:pPr>
    </w:p>
    <w:p w14:paraId="03E2665D" w14:textId="4773435C" w:rsidR="00074A34" w:rsidRPr="00FF31CD" w:rsidRDefault="00074A34" w:rsidP="00074A34">
      <w:pPr>
        <w:pStyle w:val="ListParagraph"/>
        <w:numPr>
          <w:ilvl w:val="0"/>
          <w:numId w:val="1"/>
        </w:numPr>
        <w:rPr>
          <w:rFonts w:ascii="Calibri" w:hAnsi="Calibri" w:cs="Calibri"/>
          <w:sz w:val="22"/>
        </w:rPr>
      </w:pPr>
      <w:r w:rsidRPr="00FF31CD">
        <w:rPr>
          <w:rFonts w:ascii="Calibri" w:hAnsi="Calibri" w:cs="Calibri"/>
          <w:b/>
          <w:bCs/>
          <w:sz w:val="22"/>
        </w:rPr>
        <w:t xml:space="preserve">Doe v. The Ritz-Carlton Hotel Company, LLC, </w:t>
      </w:r>
      <w:r w:rsidRPr="00FF31CD">
        <w:rPr>
          <w:rFonts w:ascii="Calibri" w:hAnsi="Calibri" w:cs="Calibri"/>
          <w:sz w:val="22"/>
        </w:rPr>
        <w:t xml:space="preserve">No. 23-cv-05218 AMO U.S. District Court, N.D. CA (05/07/2024). This case involves Jane Doe and John Doe as plaintiffs suing Marriott International, Inc. and The Ritz-Carlton Hotel Company, LLC for sexual assault, intentional infliction of emotional distress, and negligence. The defendants filed a motion to dismiss and a motion to strike parts of the complaint. On the claims against Marriott, the court granted the motion to dismiss the claims against Marriott, stating that the plaintiffs failed to sufficiently allege alter ego liability. However, the dismissal is with leave to amend, allowing the plaintiffs to amend their complaint. As for plaintiff’s direct liability for sexual assault and intentional infliction of emotional distress claims, the court granted the motion to dismiss these claims under a theory of direct liability as the plaintiffs conceded this point. Regarding the vicarious liability for sexual assault and intentional infliction of emotional distress claims, the court denied defendant’s motion to dismiss these claims, stating that the plaintiffs' allegations make the liability plausible when viewed favorably to the plaintiffs. The negligence </w:t>
      </w:r>
      <w:r w:rsidRPr="00FF31CD">
        <w:rPr>
          <w:rFonts w:ascii="Calibri" w:hAnsi="Calibri" w:cs="Calibri"/>
          <w:sz w:val="22"/>
        </w:rPr>
        <w:lastRenderedPageBreak/>
        <w:t>claim of John Does, the court granted defendant’s motion to dismiss, stating that John Doe failed to meet the requirements for negligent infliction of emotional distress. However, the dismissal is with leave to amend. Defendants also sought a motion to strike the request for attorney’s fees and punitive damages, stating that such challenges should be addressed under different rules, however the defendants failed to provide sufficient legal grounds for striking the requests. In conclusion, the court granted some parts of the motion to dismiss, denied others, and denied the motion to strike. The plaintiffs were given an opportunity to file an amended complaint, and any amended complaint must be filed by a specified date.</w:t>
      </w:r>
    </w:p>
    <w:p w14:paraId="32C8DC91" w14:textId="77777777" w:rsidR="005C72E7" w:rsidRPr="00FF31CD" w:rsidRDefault="005C72E7" w:rsidP="005C72E7">
      <w:pPr>
        <w:pStyle w:val="ListParagraph"/>
        <w:ind w:left="1080" w:firstLine="0"/>
        <w:rPr>
          <w:rFonts w:ascii="Calibri" w:hAnsi="Calibri" w:cs="Calibri"/>
          <w:sz w:val="22"/>
        </w:rPr>
      </w:pPr>
    </w:p>
    <w:p w14:paraId="43905C26" w14:textId="29114DD5" w:rsidR="005C72E7" w:rsidRPr="00FF31CD" w:rsidRDefault="00074A34" w:rsidP="005C72E7">
      <w:pPr>
        <w:pStyle w:val="ListParagraph"/>
        <w:numPr>
          <w:ilvl w:val="0"/>
          <w:numId w:val="1"/>
        </w:numPr>
        <w:rPr>
          <w:rFonts w:ascii="Calibri" w:hAnsi="Calibri" w:cs="Calibri"/>
          <w:sz w:val="22"/>
        </w:rPr>
      </w:pPr>
      <w:r w:rsidRPr="00FF31CD">
        <w:rPr>
          <w:rFonts w:ascii="Calibri" w:hAnsi="Calibri" w:cs="Calibri"/>
          <w:b/>
          <w:bCs/>
          <w:sz w:val="22"/>
        </w:rPr>
        <w:t xml:space="preserve">Lane v. American Airlines, Inc., </w:t>
      </w:r>
      <w:r w:rsidRPr="00FF31CD">
        <w:rPr>
          <w:rFonts w:ascii="Calibri" w:hAnsi="Calibri" w:cs="Calibri"/>
          <w:sz w:val="22"/>
        </w:rPr>
        <w:t>No. 18-CV-6110 (MKB) U.S. District Court, E.D. N.Y (02/27/2024). Plaintiff boarded an American Airlines flight from Phoenix to New York taking a window seat, and Rene Santiago boarded shortly after the plaintiff taking the seat next to the plaintiff. The plaintiff alleged that Mr. Santiago was drunk while stumbling to his seat and he repeatedly asked for and was given alcoholic drinks once he boarded.  She also claimed that he sexually assaulted her during the flight. Plaintiff sought to exclude testimony of past sexual abuse and assaults. The court said the evidence is not intended to show other sexual behavior or to prove her sexual predisposition, but to show the prior sexual assaults identities sources of emotional distress. The court studied each of the expert testimonies to see whether they are allowed in as evidence and concluded that some evidence is allowed and others.</w:t>
      </w:r>
    </w:p>
    <w:p w14:paraId="7386809B" w14:textId="77777777" w:rsidR="005C72E7" w:rsidRPr="00FF31CD" w:rsidRDefault="005C72E7" w:rsidP="00074A34">
      <w:pPr>
        <w:pStyle w:val="ListParagraph"/>
        <w:ind w:left="900" w:hanging="810"/>
        <w:rPr>
          <w:rFonts w:ascii="Calibri" w:hAnsi="Calibri" w:cs="Calibri"/>
          <w:b/>
          <w:bCs/>
          <w:sz w:val="22"/>
        </w:rPr>
      </w:pPr>
    </w:p>
    <w:p w14:paraId="06545DEF" w14:textId="142BE896" w:rsidR="009750F3" w:rsidRPr="00FF31CD" w:rsidRDefault="009750F3" w:rsidP="00074A34">
      <w:pPr>
        <w:pStyle w:val="ListParagraph"/>
        <w:ind w:left="900" w:hanging="810"/>
        <w:rPr>
          <w:rFonts w:ascii="Calibri" w:hAnsi="Calibri" w:cs="Calibri"/>
          <w:b/>
          <w:bCs/>
          <w:szCs w:val="24"/>
        </w:rPr>
      </w:pPr>
      <w:r w:rsidRPr="00FF31CD">
        <w:rPr>
          <w:rFonts w:ascii="Calibri" w:hAnsi="Calibri" w:cs="Calibri"/>
          <w:b/>
          <w:bCs/>
          <w:szCs w:val="24"/>
        </w:rPr>
        <w:t>Negligence – Slip and Fall</w:t>
      </w:r>
    </w:p>
    <w:p w14:paraId="3AC580B6" w14:textId="77777777" w:rsidR="00DD0673" w:rsidRPr="00FF31CD" w:rsidRDefault="00DD0673" w:rsidP="00DD0673">
      <w:pPr>
        <w:pStyle w:val="ListParagraph"/>
        <w:ind w:left="1080" w:firstLine="0"/>
        <w:rPr>
          <w:rFonts w:ascii="Calibri" w:hAnsi="Calibri" w:cs="Calibri"/>
          <w:sz w:val="22"/>
        </w:rPr>
      </w:pPr>
    </w:p>
    <w:p w14:paraId="63299D94" w14:textId="77777777" w:rsidR="00DD0673" w:rsidRPr="00FF31CD" w:rsidRDefault="00DD0673" w:rsidP="00DD0673">
      <w:pPr>
        <w:pStyle w:val="ListParagraph"/>
        <w:numPr>
          <w:ilvl w:val="0"/>
          <w:numId w:val="1"/>
        </w:numPr>
        <w:rPr>
          <w:rFonts w:ascii="Calibri" w:hAnsi="Calibri" w:cs="Calibri"/>
          <w:sz w:val="22"/>
        </w:rPr>
      </w:pPr>
      <w:r w:rsidRPr="00FF31CD">
        <w:rPr>
          <w:rFonts w:ascii="Calibri" w:hAnsi="Calibri" w:cs="Calibri"/>
          <w:b/>
          <w:bCs/>
          <w:sz w:val="22"/>
        </w:rPr>
        <w:t>Dipaolo v. Fairmont Olympic Hotel,</w:t>
      </w:r>
      <w:r w:rsidRPr="00FF31CD">
        <w:rPr>
          <w:rFonts w:ascii="Calibri" w:hAnsi="Calibri" w:cs="Calibri"/>
          <w:sz w:val="22"/>
        </w:rPr>
        <w:t xml:space="preserve"> 2025 WL 304627 (WA. Crt Appls, 2025).  Plaintiff slipped and fell on a three-step marble staircase at defendant hotel.  He suffered a stress fracture and two broken bones.   He testified that he did not know if the floor was wet, he did not recall touching the floor and finding it wet, and did not recall seeing any moisture on the floor.  The hotel argued plaintiff lacked evidence of an unsafe condition of which the hotel was aware. The court concurred that plaintiff could not meet its burden of proof and so dismissed the case.</w:t>
      </w:r>
    </w:p>
    <w:p w14:paraId="7E734DB7" w14:textId="77777777" w:rsidR="00DD0673" w:rsidRPr="00FF31CD" w:rsidRDefault="00DD0673" w:rsidP="00DD0673">
      <w:pPr>
        <w:pStyle w:val="ListParagraph"/>
        <w:ind w:left="1080" w:firstLine="0"/>
        <w:rPr>
          <w:rFonts w:ascii="Calibri" w:hAnsi="Calibri" w:cs="Calibri"/>
          <w:sz w:val="22"/>
        </w:rPr>
      </w:pPr>
    </w:p>
    <w:p w14:paraId="4E8F1B52" w14:textId="03A93344" w:rsidR="00DD0673" w:rsidRPr="00FF31CD" w:rsidRDefault="00DD0673" w:rsidP="00DD0673">
      <w:pPr>
        <w:pStyle w:val="ListParagraph"/>
        <w:numPr>
          <w:ilvl w:val="0"/>
          <w:numId w:val="1"/>
        </w:numPr>
        <w:rPr>
          <w:rFonts w:ascii="Calibri" w:hAnsi="Calibri" w:cs="Calibri"/>
          <w:sz w:val="22"/>
        </w:rPr>
      </w:pPr>
      <w:r w:rsidRPr="00FF31CD">
        <w:rPr>
          <w:rFonts w:ascii="Calibri" w:hAnsi="Calibri" w:cs="Calibri"/>
          <w:b/>
          <w:bCs/>
          <w:sz w:val="22"/>
        </w:rPr>
        <w:t>Morris v. Resorts Casino &amp; Hotel</w:t>
      </w:r>
      <w:r w:rsidRPr="00FF31CD">
        <w:rPr>
          <w:rFonts w:ascii="Calibri" w:hAnsi="Calibri" w:cs="Calibri"/>
          <w:sz w:val="22"/>
        </w:rPr>
        <w:t xml:space="preserve">, 2025 WL 65713 (NJ App. Div., 2025).  Plaintiff was a guest a defendant hotel when she slipped while attempting to step into a jacuzzi tub in her hotel bathroom.  As she fell, she grabbed a towel bar on which two towels were hung.  The rack was on the wall to the right of the tub. The rack came out of the wall as she fell.  Plaintiff recalled there were no steps, ladders, grab bars, rails or handles around the jacuzzi.  Plaintiff hired an engineer who reported that the rack she grabbed as she fell “appeared to be a grab bar that failed to comply with various building code requirements.”  The report cited no code, industry standard, or regulation that mandates grab bars or handrails be installed near jacuzzi tubs.  The court rejected the suggestion that the towel bar functioned as a grab bar or could reasonably be mistaken for a grab bar, noting repeatedly that it had two towels hanging from it.  The appeals court </w:t>
      </w:r>
      <w:r w:rsidR="009750F3" w:rsidRPr="00FF31CD">
        <w:rPr>
          <w:rFonts w:ascii="Calibri" w:hAnsi="Calibri" w:cs="Calibri"/>
          <w:sz w:val="22"/>
        </w:rPr>
        <w:t>ruled that</w:t>
      </w:r>
      <w:r w:rsidRPr="00FF31CD">
        <w:rPr>
          <w:rFonts w:ascii="Calibri" w:hAnsi="Calibri" w:cs="Calibri"/>
          <w:sz w:val="22"/>
        </w:rPr>
        <w:t xml:space="preserve"> the engineer’s testimony was properly barred, and the trial court correctly dismissed the case.</w:t>
      </w:r>
    </w:p>
    <w:p w14:paraId="0A95AB66" w14:textId="77777777" w:rsidR="00DD0673" w:rsidRPr="00FF31CD" w:rsidRDefault="00DD0673" w:rsidP="00DD0673">
      <w:pPr>
        <w:pStyle w:val="ListParagraph"/>
        <w:ind w:left="1080" w:firstLine="0"/>
        <w:rPr>
          <w:rFonts w:ascii="Calibri" w:hAnsi="Calibri" w:cs="Calibri"/>
          <w:sz w:val="22"/>
        </w:rPr>
      </w:pPr>
    </w:p>
    <w:p w14:paraId="6317E97C" w14:textId="7231B8B0" w:rsidR="00DD0673" w:rsidRPr="00FF31CD" w:rsidRDefault="00DD0673" w:rsidP="00DD0673">
      <w:pPr>
        <w:pStyle w:val="ListParagraph"/>
        <w:numPr>
          <w:ilvl w:val="0"/>
          <w:numId w:val="1"/>
        </w:numPr>
        <w:rPr>
          <w:rFonts w:ascii="Calibri" w:hAnsi="Calibri" w:cs="Calibri"/>
          <w:sz w:val="22"/>
        </w:rPr>
      </w:pPr>
      <w:r w:rsidRPr="00FF31CD">
        <w:rPr>
          <w:rFonts w:ascii="Calibri" w:hAnsi="Calibri" w:cs="Calibri"/>
          <w:b/>
          <w:bCs/>
          <w:sz w:val="22"/>
        </w:rPr>
        <w:t>Castanda v. Waterford Hotel Group, LLC, et al</w:t>
      </w:r>
      <w:r w:rsidRPr="00FF31CD">
        <w:rPr>
          <w:rFonts w:ascii="Calibri" w:hAnsi="Calibri" w:cs="Calibri"/>
          <w:sz w:val="22"/>
        </w:rPr>
        <w:t xml:space="preserve">, 2024 WL 3771474 (CT Superior Crt, 2024).  Plaintiff was a guest at defendant hotel.  Her room contained a refrigerator located inside a low wooden cabinet.  As plaintiff bent down to put a water bottle inside the refrigerator she was injured in a way she does not recall.  She was found the next morning lying on the floor </w:t>
      </w:r>
      <w:r w:rsidRPr="00FF31CD">
        <w:rPr>
          <w:rFonts w:ascii="Calibri" w:hAnsi="Calibri" w:cs="Calibri"/>
          <w:sz w:val="22"/>
        </w:rPr>
        <w:lastRenderedPageBreak/>
        <w:t xml:space="preserve">in front of the cabinet by a housekeeper.  The cabinet door was lying near her on the floor.  She did not notice anything wrong with the door before she was injured.  She sued for premises liability. The cabinet doors were installed with breakaway latches that would detach from the cabinet if excessive pressure </w:t>
      </w:r>
      <w:r w:rsidR="008F69B4" w:rsidRPr="00FF31CD">
        <w:rPr>
          <w:rFonts w:ascii="Calibri" w:hAnsi="Calibri" w:cs="Calibri"/>
          <w:sz w:val="22"/>
        </w:rPr>
        <w:t>were</w:t>
      </w:r>
      <w:r w:rsidRPr="00FF31CD">
        <w:rPr>
          <w:rFonts w:ascii="Calibri" w:hAnsi="Calibri" w:cs="Calibri"/>
          <w:sz w:val="22"/>
        </w:rPr>
        <w:t xml:space="preserve"> applied from the top or bottom of the door. The court ruled in favor of defendant, noting that plaintiff failed to prove there was a defect in the cabinet door or that the hotel had actual or constructive notice of an alleged unsafe condition that supposedly caused the injury. </w:t>
      </w:r>
    </w:p>
    <w:p w14:paraId="27652BF1" w14:textId="77777777" w:rsidR="00DD0673" w:rsidRPr="00FF31CD" w:rsidRDefault="00DD0673" w:rsidP="00DD0673">
      <w:pPr>
        <w:pStyle w:val="ListParagraph"/>
        <w:ind w:left="1080" w:firstLine="0"/>
        <w:rPr>
          <w:rFonts w:ascii="Calibri" w:hAnsi="Calibri" w:cs="Calibri"/>
        </w:rPr>
      </w:pPr>
    </w:p>
    <w:p w14:paraId="130FE8DB" w14:textId="4EA49B07" w:rsidR="00804813" w:rsidRPr="00FF31CD" w:rsidRDefault="00804813" w:rsidP="00804813">
      <w:pPr>
        <w:pStyle w:val="ListParagraph"/>
        <w:ind w:left="900" w:hanging="810"/>
        <w:rPr>
          <w:rFonts w:ascii="Calibri" w:hAnsi="Calibri" w:cs="Calibri"/>
          <w:b/>
          <w:bCs/>
          <w:sz w:val="22"/>
        </w:rPr>
      </w:pPr>
      <w:bookmarkStart w:id="1" w:name="_Hlk194067267"/>
      <w:r w:rsidRPr="00FF31CD">
        <w:rPr>
          <w:rFonts w:ascii="Calibri" w:hAnsi="Calibri" w:cs="Calibri"/>
          <w:b/>
          <w:bCs/>
          <w:sz w:val="22"/>
        </w:rPr>
        <w:t>Negligence – Slip and Fall-Constructive Notice</w:t>
      </w:r>
    </w:p>
    <w:bookmarkEnd w:id="1"/>
    <w:p w14:paraId="1BEBAFBC" w14:textId="77777777" w:rsidR="00804813" w:rsidRPr="00FF31CD" w:rsidRDefault="00804813" w:rsidP="00804813">
      <w:pPr>
        <w:pStyle w:val="ListParagraph"/>
        <w:ind w:left="900" w:hanging="810"/>
        <w:rPr>
          <w:rFonts w:ascii="Calibri" w:hAnsi="Calibri" w:cs="Calibri"/>
          <w:b/>
          <w:bCs/>
          <w:sz w:val="22"/>
        </w:rPr>
      </w:pPr>
    </w:p>
    <w:p w14:paraId="6F878801" w14:textId="470062C0" w:rsidR="00DD0673" w:rsidRPr="00FF31CD" w:rsidRDefault="00DD0673" w:rsidP="00DD0673">
      <w:pPr>
        <w:pStyle w:val="ListParagraph"/>
        <w:numPr>
          <w:ilvl w:val="0"/>
          <w:numId w:val="1"/>
        </w:numPr>
        <w:rPr>
          <w:rFonts w:ascii="Calibri" w:hAnsi="Calibri" w:cs="Calibri"/>
          <w:sz w:val="22"/>
        </w:rPr>
      </w:pPr>
      <w:r w:rsidRPr="00FF31CD">
        <w:rPr>
          <w:rFonts w:ascii="Calibri" w:hAnsi="Calibri" w:cs="Calibri"/>
          <w:b/>
          <w:bCs/>
          <w:sz w:val="22"/>
        </w:rPr>
        <w:t>Rodriguez v. Lotte Hotel Guam, LLC et al</w:t>
      </w:r>
      <w:r w:rsidRPr="00FF31CD">
        <w:rPr>
          <w:rFonts w:ascii="Calibri" w:hAnsi="Calibri" w:cs="Calibri"/>
          <w:sz w:val="22"/>
        </w:rPr>
        <w:t>, 2025 WL 388391 (Dist.</w:t>
      </w:r>
      <w:r w:rsidR="005A0108" w:rsidRPr="00FF31CD">
        <w:rPr>
          <w:rFonts w:ascii="Calibri" w:hAnsi="Calibri" w:cs="Calibri"/>
          <w:sz w:val="22"/>
        </w:rPr>
        <w:t xml:space="preserve"> </w:t>
      </w:r>
      <w:r w:rsidRPr="00FF31CD">
        <w:rPr>
          <w:rFonts w:ascii="Calibri" w:hAnsi="Calibri" w:cs="Calibri"/>
          <w:sz w:val="22"/>
        </w:rPr>
        <w:t>Crt. Guam, 2025).  Plaintiff fell on a wet substance  while exiting an elevator at defendant hotel.  Defendant denies liability because notice of the condition is essential for a property owner to exercise reasonable care, and the hotel claims it lacked actual or constructive notice of the allegedly dangerous condition. The hotel moved to dismiss the case, arguing that its maintenance and inspection policies adequately discharged its duty to discover potentially dangerous conditions.  The court denied the motion, finding a genuine dispute as to how the dangerous condition was caused and whether the hotel had actual or constructive notice of it. Additionally, the court noted a reasonable jury could find that the hotel’s precautionary measures, inspection routine, and cleaning schedule were not reasonable or adhered to.</w:t>
      </w:r>
    </w:p>
    <w:p w14:paraId="5FFEB67B" w14:textId="77777777" w:rsidR="00804813" w:rsidRPr="00FF31CD" w:rsidRDefault="00804813" w:rsidP="00804813">
      <w:pPr>
        <w:pStyle w:val="ListParagraph"/>
        <w:ind w:left="1080" w:firstLine="0"/>
        <w:rPr>
          <w:rFonts w:ascii="Calibri" w:hAnsi="Calibri" w:cs="Calibri"/>
          <w:sz w:val="22"/>
        </w:rPr>
      </w:pPr>
    </w:p>
    <w:p w14:paraId="3D798846" w14:textId="1B9923FF" w:rsidR="00DD0673" w:rsidRPr="00FF31CD" w:rsidRDefault="00DD0673" w:rsidP="00DD0673">
      <w:pPr>
        <w:pStyle w:val="ListParagraph"/>
        <w:numPr>
          <w:ilvl w:val="0"/>
          <w:numId w:val="1"/>
        </w:numPr>
        <w:rPr>
          <w:rFonts w:ascii="Calibri" w:hAnsi="Calibri" w:cs="Calibri"/>
          <w:sz w:val="22"/>
        </w:rPr>
      </w:pPr>
      <w:r w:rsidRPr="00FF31CD">
        <w:rPr>
          <w:rFonts w:ascii="Calibri" w:hAnsi="Calibri" w:cs="Calibri"/>
          <w:b/>
          <w:bCs/>
          <w:sz w:val="22"/>
        </w:rPr>
        <w:t>Trayanoff v. Omni Hotels Corp.,</w:t>
      </w:r>
      <w:r w:rsidRPr="00FF31CD">
        <w:rPr>
          <w:rFonts w:ascii="Calibri" w:hAnsi="Calibri" w:cs="Calibri"/>
          <w:sz w:val="22"/>
        </w:rPr>
        <w:t xml:space="preserve"> 2024 WL 5053286 (LA. Appls Crt, 2024).  Plaintiff suffered injuries when she slipped and fell while descending stairs at a hotel bar. Plaintiff hired an architect to inspect the steps.  He noted the tread on the last step plaintiff used before falling was ten inches deep rather than eleven as required by the applicable building code.  The architect’s report also stated that the </w:t>
      </w:r>
      <w:r w:rsidR="005A0108" w:rsidRPr="00FF31CD">
        <w:rPr>
          <w:rFonts w:ascii="Calibri" w:hAnsi="Calibri" w:cs="Calibri"/>
          <w:sz w:val="22"/>
        </w:rPr>
        <w:t>handrail</w:t>
      </w:r>
      <w:r w:rsidRPr="00FF31CD">
        <w:rPr>
          <w:rFonts w:ascii="Calibri" w:hAnsi="Calibri" w:cs="Calibri"/>
          <w:sz w:val="22"/>
        </w:rPr>
        <w:t xml:space="preserve"> on the left side was too low and therefore not graspable, and no handrails existed on the right side, contrary to code.  Also, the report stated there are no handrails on the landing, and the decorative guardrail was too high and does not meet any codes as guardrails.  Further, the two short stair flights are covered in different materials, textures and colors creating visual confusion, which also violated the building code. The architect opined that had these issues not existed, the accident and injury “probably would not have occurred.”  Concerning constructive notice, the court ruled that building code violations create a question of fact  whether defendant should have known of the defective condition.  The court thus found sufficient factual issues to deny the hotel’s motion to dismiss the case.</w:t>
      </w:r>
    </w:p>
    <w:p w14:paraId="06EC34A3" w14:textId="77777777" w:rsidR="005A0108" w:rsidRPr="00FF31CD" w:rsidRDefault="005A0108" w:rsidP="005A0108">
      <w:pPr>
        <w:pStyle w:val="ListParagraph"/>
        <w:ind w:left="1080" w:firstLine="0"/>
        <w:rPr>
          <w:rFonts w:ascii="Calibri" w:hAnsi="Calibri" w:cs="Calibri"/>
          <w:sz w:val="22"/>
        </w:rPr>
      </w:pPr>
    </w:p>
    <w:p w14:paraId="0252049A" w14:textId="722920CC" w:rsidR="005A0108" w:rsidRPr="00FF31CD" w:rsidRDefault="00DD0673" w:rsidP="005A0108">
      <w:pPr>
        <w:pStyle w:val="ListParagraph"/>
        <w:numPr>
          <w:ilvl w:val="0"/>
          <w:numId w:val="1"/>
        </w:numPr>
        <w:rPr>
          <w:rFonts w:ascii="Calibri" w:hAnsi="Calibri" w:cs="Calibri"/>
          <w:sz w:val="22"/>
        </w:rPr>
      </w:pPr>
      <w:r w:rsidRPr="00FF31CD">
        <w:rPr>
          <w:rFonts w:ascii="Calibri" w:hAnsi="Calibri" w:cs="Calibri"/>
          <w:b/>
          <w:bCs/>
          <w:sz w:val="22"/>
        </w:rPr>
        <w:t>Ferger v. House of Blues New Orleans Restaurant, Corp.,</w:t>
      </w:r>
      <w:r w:rsidRPr="00FF31CD">
        <w:rPr>
          <w:rFonts w:ascii="Calibri" w:hAnsi="Calibri" w:cs="Calibri"/>
          <w:sz w:val="22"/>
        </w:rPr>
        <w:t xml:space="preserve"> 2025 WL 815351 (LA Appls Crt, 2025).  While a patron at defendant restaurant, plaintiff tripped and fell over “an area that protruded into the entrance way</w:t>
      </w:r>
      <w:r w:rsidR="008F69B4" w:rsidRPr="00FF31CD">
        <w:rPr>
          <w:rFonts w:ascii="Calibri" w:hAnsi="Calibri" w:cs="Calibri"/>
          <w:sz w:val="22"/>
        </w:rPr>
        <w:t>.”</w:t>
      </w:r>
      <w:r w:rsidR="005A0108" w:rsidRPr="00FF31CD">
        <w:rPr>
          <w:rFonts w:ascii="Calibri" w:hAnsi="Calibri" w:cs="Calibri"/>
          <w:sz w:val="22"/>
        </w:rPr>
        <w:t xml:space="preserve"> </w:t>
      </w:r>
      <w:r w:rsidRPr="00FF31CD">
        <w:rPr>
          <w:rFonts w:ascii="Calibri" w:hAnsi="Calibri" w:cs="Calibri"/>
          <w:sz w:val="22"/>
        </w:rPr>
        <w:t xml:space="preserve">Plaintiff testified that the area was very dark.  The restaurant provided as a deposition witness a former restaurant director who did not work at the restaurant at the time of plaintiff’s injuries. She did not know how many lights were in the area or the type of lights. </w:t>
      </w:r>
      <w:r w:rsidR="005A0108" w:rsidRPr="00FF31CD">
        <w:rPr>
          <w:rFonts w:ascii="Calibri" w:hAnsi="Calibri" w:cs="Calibri"/>
          <w:sz w:val="22"/>
        </w:rPr>
        <w:t xml:space="preserve">She testified there was a sign on the first step that reads “Watch Your Step.”  The appeals court held that genuine issues of material fact remain as to the sufficiency of the lighting and whether the restaurant had actual or constructive notice of the risk posed by poor lighting.  The court thus reversed the trial court’s summary judgment order in favor of defendant and remanded the case for further proceedings.   </w:t>
      </w:r>
    </w:p>
    <w:p w14:paraId="7A6DAD48" w14:textId="1F872FE2" w:rsidR="00DD0673" w:rsidRPr="00FF31CD" w:rsidRDefault="00DD0673" w:rsidP="005A0108">
      <w:pPr>
        <w:pStyle w:val="ListParagraph"/>
        <w:ind w:left="1080" w:firstLine="0"/>
        <w:rPr>
          <w:rFonts w:ascii="Calibri" w:hAnsi="Calibri" w:cs="Calibri"/>
          <w:sz w:val="22"/>
        </w:rPr>
      </w:pPr>
    </w:p>
    <w:p w14:paraId="22DF776F" w14:textId="3866FBC5" w:rsidR="005A0108" w:rsidRPr="00FF31CD" w:rsidRDefault="005A0108" w:rsidP="005A0108">
      <w:pPr>
        <w:pStyle w:val="ListParagraph"/>
        <w:ind w:left="900" w:hanging="810"/>
        <w:rPr>
          <w:rFonts w:ascii="Calibri" w:hAnsi="Calibri" w:cs="Calibri"/>
          <w:b/>
          <w:bCs/>
          <w:szCs w:val="24"/>
        </w:rPr>
      </w:pPr>
      <w:r w:rsidRPr="00FF31CD">
        <w:rPr>
          <w:rFonts w:ascii="Calibri" w:hAnsi="Calibri" w:cs="Calibri"/>
          <w:b/>
          <w:bCs/>
          <w:szCs w:val="24"/>
        </w:rPr>
        <w:t>Negligence – Trip and Fall in a Shower</w:t>
      </w:r>
    </w:p>
    <w:p w14:paraId="1AF18CCF" w14:textId="77777777" w:rsidR="005A0108" w:rsidRPr="00FF31CD" w:rsidRDefault="005A0108" w:rsidP="005A0108">
      <w:pPr>
        <w:pStyle w:val="ListParagraph"/>
        <w:ind w:left="1080" w:firstLine="0"/>
        <w:rPr>
          <w:rFonts w:ascii="Calibri" w:hAnsi="Calibri" w:cs="Calibri"/>
        </w:rPr>
      </w:pPr>
    </w:p>
    <w:p w14:paraId="64C52440" w14:textId="6B965CA5" w:rsidR="00DD0673" w:rsidRPr="00FF31CD" w:rsidRDefault="00DD0673" w:rsidP="005A0108">
      <w:pPr>
        <w:pStyle w:val="ListParagraph"/>
        <w:numPr>
          <w:ilvl w:val="0"/>
          <w:numId w:val="1"/>
        </w:numPr>
        <w:rPr>
          <w:rFonts w:ascii="Calibri" w:hAnsi="Calibri" w:cs="Calibri"/>
          <w:sz w:val="22"/>
        </w:rPr>
      </w:pPr>
      <w:r w:rsidRPr="00FF31CD">
        <w:rPr>
          <w:rFonts w:ascii="Calibri" w:hAnsi="Calibri" w:cs="Calibri"/>
          <w:b/>
          <w:bCs/>
          <w:sz w:val="22"/>
        </w:rPr>
        <w:t xml:space="preserve">Strahan v. </w:t>
      </w:r>
      <w:r w:rsidR="00501EAD" w:rsidRPr="00FF31CD">
        <w:rPr>
          <w:rFonts w:ascii="Calibri" w:hAnsi="Calibri" w:cs="Calibri"/>
          <w:b/>
          <w:bCs/>
          <w:sz w:val="22"/>
        </w:rPr>
        <w:t>McCook</w:t>
      </w:r>
      <w:r w:rsidRPr="00FF31CD">
        <w:rPr>
          <w:rFonts w:ascii="Calibri" w:hAnsi="Calibri" w:cs="Calibri"/>
          <w:b/>
          <w:bCs/>
          <w:sz w:val="22"/>
        </w:rPr>
        <w:t xml:space="preserve"> Hotel Group, LLC,</w:t>
      </w:r>
      <w:r w:rsidRPr="00FF31CD">
        <w:rPr>
          <w:rFonts w:ascii="Calibri" w:hAnsi="Calibri" w:cs="Calibri"/>
          <w:sz w:val="22"/>
        </w:rPr>
        <w:t xml:space="preserve"> 317 Neb.350, __NW3d__ (Neb. Sup.</w:t>
      </w:r>
      <w:r w:rsidR="00171273" w:rsidRPr="00FF31CD">
        <w:rPr>
          <w:rFonts w:ascii="Calibri" w:hAnsi="Calibri" w:cs="Calibri"/>
          <w:sz w:val="22"/>
        </w:rPr>
        <w:t xml:space="preserve"> </w:t>
      </w:r>
      <w:r w:rsidRPr="00FF31CD">
        <w:rPr>
          <w:rFonts w:ascii="Calibri" w:hAnsi="Calibri" w:cs="Calibri"/>
          <w:sz w:val="22"/>
        </w:rPr>
        <w:t xml:space="preserve">Crt., 2024.  Plaintiff slipped in a shower tub while a guest at defendant hotel  He sued claiming the hotel was negligent for not installing slip resistant materials.  The hotel claimed slip-resistant textured floors were installed in every shower in the hotel.  Further plaintiff’s expert who inspected the shower noted a “raised truncated type of slip resistant surface” that covered the entire shower tub bottom.  Pictures confirmed the expert’s statement. Not surprisingly, the court entered summary judgment in favor of the hotel. </w:t>
      </w:r>
    </w:p>
    <w:p w14:paraId="133DF7F7" w14:textId="77777777" w:rsidR="00171273" w:rsidRPr="00FF31CD" w:rsidRDefault="00171273" w:rsidP="00171273">
      <w:pPr>
        <w:pStyle w:val="ListParagraph"/>
        <w:ind w:left="1080" w:firstLine="0"/>
        <w:rPr>
          <w:rFonts w:ascii="Calibri" w:hAnsi="Calibri" w:cs="Calibri"/>
          <w:sz w:val="22"/>
        </w:rPr>
      </w:pPr>
    </w:p>
    <w:p w14:paraId="7A0C9ABD" w14:textId="4FDB423F" w:rsidR="00DD0673" w:rsidRPr="00FF31CD" w:rsidRDefault="00DD0673" w:rsidP="00DD0673">
      <w:pPr>
        <w:pStyle w:val="ListParagraph"/>
        <w:numPr>
          <w:ilvl w:val="0"/>
          <w:numId w:val="1"/>
        </w:numPr>
        <w:rPr>
          <w:rFonts w:ascii="Calibri" w:hAnsi="Calibri" w:cs="Calibri"/>
          <w:sz w:val="22"/>
        </w:rPr>
      </w:pPr>
      <w:r w:rsidRPr="00FF31CD">
        <w:rPr>
          <w:rFonts w:ascii="Calibri" w:hAnsi="Calibri" w:cs="Calibri"/>
          <w:b/>
          <w:bCs/>
          <w:sz w:val="22"/>
        </w:rPr>
        <w:t>Vahle v. Comfort Inn &amp; Suites</w:t>
      </w:r>
      <w:r w:rsidRPr="00FF31CD">
        <w:rPr>
          <w:rFonts w:ascii="Calibri" w:hAnsi="Calibri" w:cs="Calibri"/>
          <w:sz w:val="22"/>
        </w:rPr>
        <w:t xml:space="preserve">, 2024 WL 3831089 (S.D. Miss., 2024).  Plaintiff slipped and fell in a shower at defendant hotel.  Plaintiff alleged the shower lacked handrails and a mat, rendering the floor slippery and the shower unsafe.  The case was before the court on a pre-trial procedural issue.   At trial, </w:t>
      </w:r>
      <w:r w:rsidR="00164D33" w:rsidRPr="00FF31CD">
        <w:rPr>
          <w:rFonts w:ascii="Calibri" w:hAnsi="Calibri" w:cs="Calibri"/>
          <w:sz w:val="22"/>
        </w:rPr>
        <w:t>i</w:t>
      </w:r>
      <w:r w:rsidRPr="00FF31CD">
        <w:rPr>
          <w:rFonts w:ascii="Calibri" w:hAnsi="Calibri" w:cs="Calibri"/>
          <w:sz w:val="22"/>
        </w:rPr>
        <w:t xml:space="preserve">f those facts are true, liability will likely result.  </w:t>
      </w:r>
    </w:p>
    <w:p w14:paraId="725A9A1E" w14:textId="77777777" w:rsidR="003C6E15" w:rsidRPr="00FF31CD" w:rsidRDefault="003C6E15" w:rsidP="003C6E15">
      <w:pPr>
        <w:pStyle w:val="ListParagraph"/>
        <w:rPr>
          <w:rFonts w:ascii="Calibri" w:hAnsi="Calibri" w:cs="Calibri"/>
          <w:szCs w:val="24"/>
        </w:rPr>
      </w:pPr>
    </w:p>
    <w:p w14:paraId="2B37090A" w14:textId="2A5D45A6" w:rsidR="005E094A" w:rsidRPr="00FF31CD" w:rsidRDefault="005E094A">
      <w:pPr>
        <w:rPr>
          <w:rFonts w:ascii="Calibri" w:hAnsi="Calibri" w:cs="Calibri"/>
          <w:b/>
          <w:bCs/>
          <w:sz w:val="24"/>
          <w:szCs w:val="24"/>
        </w:rPr>
      </w:pPr>
      <w:r w:rsidRPr="00FF31CD">
        <w:rPr>
          <w:rFonts w:ascii="Calibri" w:hAnsi="Calibri" w:cs="Calibri"/>
          <w:b/>
          <w:bCs/>
          <w:sz w:val="24"/>
          <w:szCs w:val="24"/>
        </w:rPr>
        <w:t>Piercing the Corporate Veil</w:t>
      </w:r>
    </w:p>
    <w:p w14:paraId="02D93CAC" w14:textId="2B712F99" w:rsidR="00B55EAA" w:rsidRPr="00FF31CD" w:rsidRDefault="007A04DF" w:rsidP="00B55EAA">
      <w:pPr>
        <w:pStyle w:val="ListParagraph"/>
        <w:numPr>
          <w:ilvl w:val="0"/>
          <w:numId w:val="1"/>
        </w:numPr>
        <w:rPr>
          <w:rFonts w:ascii="Calibri" w:hAnsi="Calibri" w:cs="Calibri"/>
          <w:sz w:val="22"/>
        </w:rPr>
      </w:pPr>
      <w:r w:rsidRPr="00FF31CD">
        <w:rPr>
          <w:rFonts w:ascii="Calibri" w:hAnsi="Calibri" w:cs="Calibri"/>
          <w:b/>
          <w:bCs/>
          <w:sz w:val="22"/>
        </w:rPr>
        <w:t xml:space="preserve">Quintessence Hotel v. Deckebach, </w:t>
      </w:r>
      <w:r w:rsidRPr="00FF31CD">
        <w:rPr>
          <w:rFonts w:ascii="Calibri" w:hAnsi="Calibri" w:cs="Calibri"/>
          <w:sz w:val="22"/>
        </w:rPr>
        <w:t>2024 WL 5165457 (MI. Appls Crt, 12/18/24).  Plaintiff hotel contracted with defendant for the construction of a custom wine rack at the hotel.  A deposit of $27,400 was paid.  Plaintiff claims defendant failed to deliver the wine rack or return plaintiff’s deposit before defendant filed for bankruptcy.  Plaintiff seeks to pierce defendant’s corporate veil to hold the principal liable, alleging that defendant was undercapitalized, and that fact was known to defendant’s principal.  Plaintiff further alleges that when defendant entered the contract with plaintiff, defendant knew it could not perform.  The court ruled plaintiff’s evidence was not enough to establish prima facie showing that the veil should be pierced, but remanded the case for further discovery on that issue.</w:t>
      </w:r>
    </w:p>
    <w:p w14:paraId="127AF39B" w14:textId="77777777" w:rsidR="007A04DF" w:rsidRPr="00FF31CD" w:rsidRDefault="007A04DF" w:rsidP="007A04DF">
      <w:pPr>
        <w:pStyle w:val="ListParagraph"/>
        <w:ind w:left="1080" w:firstLine="0"/>
        <w:rPr>
          <w:rFonts w:ascii="Calibri" w:hAnsi="Calibri" w:cs="Calibri"/>
          <w:sz w:val="22"/>
        </w:rPr>
      </w:pPr>
    </w:p>
    <w:p w14:paraId="38F6419A" w14:textId="77777777" w:rsidR="0091285E" w:rsidRPr="00FF31CD" w:rsidRDefault="0091285E">
      <w:pPr>
        <w:rPr>
          <w:rFonts w:ascii="Calibri" w:hAnsi="Calibri" w:cs="Calibri"/>
          <w:b/>
          <w:bCs/>
          <w:sz w:val="24"/>
          <w:szCs w:val="24"/>
        </w:rPr>
      </w:pPr>
      <w:r w:rsidRPr="00FF31CD">
        <w:rPr>
          <w:rFonts w:ascii="Calibri" w:hAnsi="Calibri" w:cs="Calibri"/>
          <w:b/>
          <w:bCs/>
          <w:sz w:val="24"/>
          <w:szCs w:val="24"/>
        </w:rPr>
        <w:t>Securities</w:t>
      </w:r>
    </w:p>
    <w:p w14:paraId="4F15DCB9" w14:textId="4FDE8068" w:rsidR="0091285E" w:rsidRPr="00FF31CD" w:rsidRDefault="0091285E" w:rsidP="0091285E">
      <w:pPr>
        <w:pStyle w:val="ListParagraph"/>
        <w:numPr>
          <w:ilvl w:val="0"/>
          <w:numId w:val="1"/>
        </w:numPr>
        <w:rPr>
          <w:rFonts w:ascii="Calibri" w:hAnsi="Calibri" w:cs="Calibri"/>
          <w:b/>
          <w:bCs/>
          <w:sz w:val="22"/>
        </w:rPr>
      </w:pPr>
      <w:r w:rsidRPr="00FF31CD">
        <w:rPr>
          <w:rFonts w:ascii="Calibri" w:hAnsi="Calibri" w:cs="Calibri"/>
          <w:b/>
          <w:bCs/>
          <w:sz w:val="22"/>
        </w:rPr>
        <w:t>Pack, et al. v. Lux</w:t>
      </w:r>
      <w:r w:rsidR="00F51798" w:rsidRPr="00FF31CD">
        <w:rPr>
          <w:rFonts w:ascii="Calibri" w:hAnsi="Calibri" w:cs="Calibri"/>
          <w:b/>
          <w:bCs/>
          <w:sz w:val="22"/>
        </w:rPr>
        <w:t>U</w:t>
      </w:r>
      <w:r w:rsidRPr="00FF31CD">
        <w:rPr>
          <w:rFonts w:ascii="Calibri" w:hAnsi="Calibri" w:cs="Calibri"/>
          <w:b/>
          <w:bCs/>
          <w:sz w:val="22"/>
        </w:rPr>
        <w:t xml:space="preserve">rban Hotels Inc., et al, </w:t>
      </w:r>
      <w:r w:rsidRPr="00FF31CD">
        <w:rPr>
          <w:rFonts w:ascii="Calibri" w:hAnsi="Calibri" w:cs="Calibri"/>
          <w:sz w:val="22"/>
        </w:rPr>
        <w:t>No. 24 cv 1030 U.S.</w:t>
      </w:r>
      <w:r w:rsidR="00FB0F78" w:rsidRPr="00FF31CD">
        <w:rPr>
          <w:rFonts w:ascii="Calibri" w:hAnsi="Calibri" w:cs="Calibri"/>
          <w:sz w:val="22"/>
        </w:rPr>
        <w:t xml:space="preserve"> </w:t>
      </w:r>
      <w:r w:rsidRPr="00FF31CD">
        <w:rPr>
          <w:rFonts w:ascii="Calibri" w:hAnsi="Calibri" w:cs="Calibri"/>
          <w:sz w:val="22"/>
        </w:rPr>
        <w:t>Dist. Ct S.D. N Y</w:t>
      </w:r>
      <w:r w:rsidR="00FB0F78" w:rsidRPr="00FF31CD">
        <w:rPr>
          <w:rFonts w:ascii="Calibri" w:hAnsi="Calibri" w:cs="Calibri"/>
          <w:sz w:val="22"/>
        </w:rPr>
        <w:t xml:space="preserve"> (06/18/2024). </w:t>
      </w:r>
      <w:r w:rsidR="00D81E57" w:rsidRPr="00FF31CD">
        <w:rPr>
          <w:rFonts w:ascii="Calibri" w:hAnsi="Calibri" w:cs="Calibri"/>
          <w:sz w:val="22"/>
        </w:rPr>
        <w:t xml:space="preserve">This case involves a securities class action lawsuit filed by Janice Pak </w:t>
      </w:r>
      <w:r w:rsidR="00606112" w:rsidRPr="00FF31CD">
        <w:rPr>
          <w:rFonts w:ascii="Calibri" w:hAnsi="Calibri" w:cs="Calibri"/>
          <w:sz w:val="22"/>
        </w:rPr>
        <w:t xml:space="preserve">who alleges that LuxUrban falsely claimed to have secured a lease with a prestigious Manhattan hotel, the Royalton.  LuxUrban failed to disclose multiple lawsuits against the company.  These alleged misrepresentations inflated LuxUrban’s stock price, leading investors to suffer significant losses when the truth was revealed. </w:t>
      </w:r>
      <w:r w:rsidR="001020C5" w:rsidRPr="00FF31CD">
        <w:rPr>
          <w:rFonts w:ascii="Calibri" w:hAnsi="Calibri" w:cs="Calibri"/>
          <w:sz w:val="22"/>
        </w:rPr>
        <w:t>The court focused on appointing the lead plaintiff and counsel for the class action</w:t>
      </w:r>
      <w:r w:rsidR="00685FD8" w:rsidRPr="00FF31CD">
        <w:rPr>
          <w:rFonts w:ascii="Calibri" w:hAnsi="Calibri" w:cs="Calibri"/>
          <w:sz w:val="22"/>
        </w:rPr>
        <w:t xml:space="preserve">. Two groups, the LuxUrban Investor Group and the zCap/Marchetta Group sought appointment as lead plaintiff. The court appointed zCap/Marchetta Group as the lead plaintiff because they had the largest financial interest in the case and </w:t>
      </w:r>
      <w:r w:rsidR="00353486" w:rsidRPr="00FF31CD">
        <w:rPr>
          <w:rFonts w:ascii="Calibri" w:hAnsi="Calibri" w:cs="Calibri"/>
          <w:sz w:val="22"/>
        </w:rPr>
        <w:t>satisfied</w:t>
      </w:r>
      <w:r w:rsidR="00685FD8" w:rsidRPr="00FF31CD">
        <w:rPr>
          <w:rFonts w:ascii="Calibri" w:hAnsi="Calibri" w:cs="Calibri"/>
          <w:sz w:val="22"/>
        </w:rPr>
        <w:t xml:space="preserve"> the necessary legal criteria. </w:t>
      </w:r>
      <w:r w:rsidR="00353486" w:rsidRPr="00FF31CD">
        <w:rPr>
          <w:rFonts w:ascii="Calibri" w:hAnsi="Calibri" w:cs="Calibri"/>
          <w:sz w:val="22"/>
        </w:rPr>
        <w:t>The court said</w:t>
      </w:r>
      <w:r w:rsidR="00834ABC" w:rsidRPr="00FF31CD">
        <w:rPr>
          <w:rFonts w:ascii="Calibri" w:hAnsi="Calibri" w:cs="Calibri"/>
          <w:sz w:val="22"/>
        </w:rPr>
        <w:t xml:space="preserve"> the</w:t>
      </w:r>
      <w:r w:rsidR="00353486" w:rsidRPr="00FF31CD">
        <w:rPr>
          <w:rFonts w:ascii="Calibri" w:hAnsi="Calibri" w:cs="Calibri"/>
          <w:sz w:val="22"/>
        </w:rPr>
        <w:t xml:space="preserve"> zCap/Marchett Group was best suited to represent the class.</w:t>
      </w:r>
    </w:p>
    <w:p w14:paraId="79575260" w14:textId="77777777" w:rsidR="003806DC" w:rsidRPr="00FF31CD" w:rsidRDefault="003806DC" w:rsidP="003806DC">
      <w:pPr>
        <w:pStyle w:val="ListParagraph"/>
        <w:ind w:left="1080" w:firstLine="0"/>
        <w:rPr>
          <w:rFonts w:ascii="Calibri" w:hAnsi="Calibri" w:cs="Calibri"/>
          <w:b/>
          <w:bCs/>
          <w:sz w:val="22"/>
        </w:rPr>
      </w:pPr>
    </w:p>
    <w:p w14:paraId="42325CA1" w14:textId="77777777" w:rsidR="003806DC" w:rsidRPr="00FF31CD" w:rsidRDefault="003806DC" w:rsidP="003806DC">
      <w:pPr>
        <w:rPr>
          <w:rFonts w:ascii="Calibri" w:hAnsi="Calibri" w:cs="Calibri"/>
          <w:b/>
          <w:bCs/>
          <w:sz w:val="24"/>
          <w:szCs w:val="24"/>
        </w:rPr>
      </w:pPr>
      <w:r w:rsidRPr="00FF31CD">
        <w:rPr>
          <w:rFonts w:ascii="Calibri" w:hAnsi="Calibri" w:cs="Calibri"/>
          <w:b/>
          <w:bCs/>
          <w:sz w:val="24"/>
          <w:szCs w:val="24"/>
        </w:rPr>
        <w:t>Spoilation</w:t>
      </w:r>
    </w:p>
    <w:p w14:paraId="07914573" w14:textId="247FF916" w:rsidR="00810E74" w:rsidRPr="00FF31CD" w:rsidRDefault="00810E74" w:rsidP="00810E74">
      <w:pPr>
        <w:pStyle w:val="ListParagraph"/>
        <w:numPr>
          <w:ilvl w:val="0"/>
          <w:numId w:val="1"/>
        </w:numPr>
        <w:rPr>
          <w:rFonts w:ascii="Calibri" w:hAnsi="Calibri" w:cs="Calibri"/>
          <w:sz w:val="22"/>
        </w:rPr>
      </w:pPr>
      <w:r w:rsidRPr="00FF31CD">
        <w:rPr>
          <w:rFonts w:ascii="Calibri" w:hAnsi="Calibri" w:cs="Calibri"/>
          <w:b/>
          <w:bCs/>
          <w:sz w:val="22"/>
        </w:rPr>
        <w:t xml:space="preserve">Lawrence v. Renaissance Hotel Operating, </w:t>
      </w:r>
      <w:r w:rsidRPr="00FF31CD">
        <w:rPr>
          <w:rFonts w:ascii="Calibri" w:hAnsi="Calibri" w:cs="Calibri"/>
          <w:sz w:val="22"/>
        </w:rPr>
        <w:t xml:space="preserve">2024 WL 1091790 DC Dist. Ct (03/13/2024). The plaintiff was sexually attacked at the Washington, D.C. Downtown hotel operated by the defendant by a man whom the plaintiff met in the hotel’s lobby bar. The plaintiff  consumed “an excessive amount of wine” at the bar and was seen on the hotel camera as being taken to the man’s hotel room where she was sexually assaulted and beaten. The next morning, the plaintiff, having been drugged, left the assailant’s room </w:t>
      </w:r>
      <w:r w:rsidR="009C4B51" w:rsidRPr="00FF31CD">
        <w:rPr>
          <w:rFonts w:ascii="Calibri" w:hAnsi="Calibri" w:cs="Calibri"/>
          <w:sz w:val="22"/>
        </w:rPr>
        <w:t>completely</w:t>
      </w:r>
      <w:r w:rsidRPr="00FF31CD">
        <w:rPr>
          <w:rFonts w:ascii="Calibri" w:hAnsi="Calibri" w:cs="Calibri"/>
          <w:sz w:val="22"/>
        </w:rPr>
        <w:t xml:space="preserve"> naked and with a black </w:t>
      </w:r>
      <w:r w:rsidRPr="00FF31CD">
        <w:rPr>
          <w:rFonts w:ascii="Calibri" w:hAnsi="Calibri" w:cs="Calibri"/>
          <w:sz w:val="22"/>
        </w:rPr>
        <w:lastRenderedPageBreak/>
        <w:t>eye and a laceration so severe it ripped a mole off her face.  Although the hotel was aware of her circumstance (they gave her a bathrobe), the staff did not call the police, did not summon medical assistance, and failed to preserve evidence that might have been available in the perpetrator’s guest room where the assault occurred. Specifically, soiled bed sheets and towels, trash, and possible drug residue.  Due to the lack of evidence, the attacker was not prosecuted.  The plaintiff sued the hotel for spoliation and the court denied the hotel’s motion to dismiss.</w:t>
      </w:r>
    </w:p>
    <w:p w14:paraId="199E1065" w14:textId="77777777" w:rsidR="003806DC" w:rsidRPr="00FF31CD" w:rsidRDefault="003806DC" w:rsidP="003806DC">
      <w:pPr>
        <w:pStyle w:val="ListParagraph"/>
        <w:ind w:firstLine="0"/>
        <w:rPr>
          <w:rFonts w:ascii="Calibri" w:hAnsi="Calibri" w:cs="Calibri"/>
          <w:b/>
          <w:bCs/>
          <w:szCs w:val="24"/>
        </w:rPr>
      </w:pPr>
    </w:p>
    <w:p w14:paraId="6224A2B2" w14:textId="2164A3EC" w:rsidR="007422AE" w:rsidRPr="00FF31CD" w:rsidRDefault="007422AE">
      <w:pPr>
        <w:rPr>
          <w:rFonts w:ascii="Calibri" w:hAnsi="Calibri" w:cs="Calibri"/>
          <w:b/>
          <w:bCs/>
          <w:sz w:val="24"/>
          <w:szCs w:val="24"/>
        </w:rPr>
      </w:pPr>
      <w:r w:rsidRPr="00FF31CD">
        <w:rPr>
          <w:rFonts w:ascii="Calibri" w:hAnsi="Calibri" w:cs="Calibri"/>
          <w:b/>
          <w:bCs/>
          <w:sz w:val="24"/>
          <w:szCs w:val="24"/>
        </w:rPr>
        <w:t>S</w:t>
      </w:r>
      <w:r w:rsidR="00BF4405" w:rsidRPr="00FF31CD">
        <w:rPr>
          <w:rFonts w:ascii="Calibri" w:hAnsi="Calibri" w:cs="Calibri"/>
          <w:b/>
          <w:bCs/>
          <w:sz w:val="24"/>
          <w:szCs w:val="24"/>
        </w:rPr>
        <w:t>tanding</w:t>
      </w:r>
    </w:p>
    <w:p w14:paraId="06C1BC54" w14:textId="1084D6AF" w:rsidR="00BF4405" w:rsidRPr="00FF31CD" w:rsidRDefault="00702B38" w:rsidP="00810E74">
      <w:pPr>
        <w:pStyle w:val="ListParagraph"/>
        <w:numPr>
          <w:ilvl w:val="0"/>
          <w:numId w:val="1"/>
        </w:numPr>
        <w:rPr>
          <w:rFonts w:ascii="Calibri" w:hAnsi="Calibri" w:cs="Calibri"/>
          <w:sz w:val="22"/>
        </w:rPr>
      </w:pPr>
      <w:r w:rsidRPr="00FF31CD">
        <w:rPr>
          <w:rFonts w:ascii="Calibri" w:hAnsi="Calibri" w:cs="Calibri"/>
          <w:b/>
          <w:bCs/>
          <w:sz w:val="22"/>
        </w:rPr>
        <w:t>Travelers United, Inc. v. Hyatt Hotels Corp</w:t>
      </w:r>
      <w:r w:rsidRPr="00FF31CD">
        <w:rPr>
          <w:rFonts w:ascii="Calibri" w:hAnsi="Calibri" w:cs="Calibri"/>
          <w:sz w:val="22"/>
        </w:rPr>
        <w:t>., 2025 WL 27162 (DC, 2025).  Travelers United, Inc. is a nonprofit public interest organization.  It filed this class action lawsuit alleging Hyatt violated a Washington DC consumer protection statute prohibiting unfair or deceptive trade practices. Specifically, Travelers alleges that Hyatt formerly charged resort and destination fees that were not advertised as part of the regular nightly rate for a room. The court found Travelers lacked standing because Travelers ability to provide services aligned with its mission was not impaired, and no evidence suggested that any individual member of Travelers had suffered the necessary injury to qualify for standing.</w:t>
      </w:r>
    </w:p>
    <w:p w14:paraId="2B2648F2" w14:textId="77777777" w:rsidR="00702B38" w:rsidRPr="00FF31CD" w:rsidRDefault="00702B38" w:rsidP="00702B38">
      <w:pPr>
        <w:pStyle w:val="ListParagraph"/>
        <w:ind w:left="1080" w:firstLine="0"/>
        <w:rPr>
          <w:rFonts w:ascii="Calibri" w:hAnsi="Calibri" w:cs="Calibri"/>
          <w:sz w:val="22"/>
        </w:rPr>
      </w:pPr>
    </w:p>
    <w:p w14:paraId="22B9D114" w14:textId="3742D0F8" w:rsidR="00623F24" w:rsidRPr="00FF31CD" w:rsidRDefault="00623F24">
      <w:pPr>
        <w:rPr>
          <w:rFonts w:ascii="Calibri" w:hAnsi="Calibri" w:cs="Calibri"/>
          <w:b/>
          <w:bCs/>
          <w:sz w:val="24"/>
          <w:szCs w:val="24"/>
        </w:rPr>
      </w:pPr>
      <w:r w:rsidRPr="00FF31CD">
        <w:rPr>
          <w:rFonts w:ascii="Calibri" w:hAnsi="Calibri" w:cs="Calibri"/>
          <w:b/>
          <w:bCs/>
          <w:sz w:val="24"/>
          <w:szCs w:val="24"/>
        </w:rPr>
        <w:t>Sufficie</w:t>
      </w:r>
      <w:r w:rsidR="00E61BD6" w:rsidRPr="00FF31CD">
        <w:rPr>
          <w:rFonts w:ascii="Calibri" w:hAnsi="Calibri" w:cs="Calibri"/>
          <w:b/>
          <w:bCs/>
          <w:sz w:val="24"/>
          <w:szCs w:val="24"/>
        </w:rPr>
        <w:t>ncy of Complaint</w:t>
      </w:r>
    </w:p>
    <w:p w14:paraId="504EA3EF" w14:textId="6B60D42A" w:rsidR="00E61BD6" w:rsidRPr="00FF31CD" w:rsidRDefault="00535C2E" w:rsidP="00810E74">
      <w:pPr>
        <w:pStyle w:val="ListParagraph"/>
        <w:numPr>
          <w:ilvl w:val="0"/>
          <w:numId w:val="1"/>
        </w:numPr>
        <w:rPr>
          <w:rFonts w:ascii="Calibri" w:hAnsi="Calibri" w:cs="Calibri"/>
          <w:sz w:val="22"/>
        </w:rPr>
      </w:pPr>
      <w:r w:rsidRPr="00FF31CD">
        <w:rPr>
          <w:rFonts w:ascii="Calibri" w:hAnsi="Calibri" w:cs="Calibri"/>
          <w:b/>
          <w:bCs/>
          <w:sz w:val="22"/>
        </w:rPr>
        <w:t xml:space="preserve">Phanthay v. Circus Circus Hotel &amp; Casino,  </w:t>
      </w:r>
      <w:r w:rsidRPr="00FF31CD">
        <w:rPr>
          <w:rFonts w:ascii="Calibri" w:hAnsi="Calibri" w:cs="Calibri"/>
          <w:sz w:val="22"/>
        </w:rPr>
        <w:t>2025 WL 343365 (D. NV, 2025).  Plaintiffs were guests at defendant hotel.  They filed a complaint alleging they paid for rooms but were forced to vacate them.  The court dismissed the complaint as insufficient noting that it did not describe which of the several plaintiffs had contracts with defendants for rooms, why  their alleged eviction from the rooms was wrongful, and the basis for the claim of breach of contract.   However, the court granted plaintiff’s motion for leave to file an amended complaint.</w:t>
      </w:r>
    </w:p>
    <w:p w14:paraId="6346113A" w14:textId="77777777" w:rsidR="00535C2E" w:rsidRPr="00FF31CD" w:rsidRDefault="00535C2E" w:rsidP="00535C2E">
      <w:pPr>
        <w:pStyle w:val="ListParagraph"/>
        <w:ind w:left="1080" w:firstLine="0"/>
        <w:rPr>
          <w:rFonts w:ascii="Calibri" w:hAnsi="Calibri" w:cs="Calibri"/>
          <w:sz w:val="22"/>
        </w:rPr>
      </w:pPr>
    </w:p>
    <w:p w14:paraId="4771F5FA" w14:textId="0161DF22" w:rsidR="0040775C" w:rsidRPr="00FF31CD" w:rsidRDefault="0040775C">
      <w:pPr>
        <w:rPr>
          <w:rFonts w:ascii="Calibri" w:hAnsi="Calibri" w:cs="Calibri"/>
          <w:b/>
          <w:bCs/>
          <w:sz w:val="24"/>
          <w:szCs w:val="24"/>
        </w:rPr>
      </w:pPr>
      <w:r w:rsidRPr="00FF31CD">
        <w:rPr>
          <w:rFonts w:ascii="Calibri" w:hAnsi="Calibri" w:cs="Calibri"/>
          <w:b/>
          <w:bCs/>
          <w:sz w:val="24"/>
          <w:szCs w:val="24"/>
        </w:rPr>
        <w:t>Trademark</w:t>
      </w:r>
    </w:p>
    <w:p w14:paraId="57BC984B" w14:textId="77777777" w:rsidR="001B5D91" w:rsidRPr="00FF31CD" w:rsidRDefault="001B5D91" w:rsidP="00810E74">
      <w:pPr>
        <w:pStyle w:val="ListParagraph"/>
        <w:numPr>
          <w:ilvl w:val="0"/>
          <w:numId w:val="1"/>
        </w:numPr>
        <w:rPr>
          <w:rFonts w:ascii="Calibri" w:hAnsi="Calibri" w:cs="Calibri"/>
          <w:sz w:val="22"/>
        </w:rPr>
      </w:pPr>
      <w:r w:rsidRPr="00FF31CD">
        <w:rPr>
          <w:rFonts w:ascii="Calibri" w:hAnsi="Calibri" w:cs="Calibri"/>
          <w:b/>
          <w:bCs/>
          <w:sz w:val="22"/>
        </w:rPr>
        <w:t xml:space="preserve">Asazu LLC v. Collectandcreate LLC, </w:t>
      </w:r>
      <w:r w:rsidRPr="00FF31CD">
        <w:rPr>
          <w:rFonts w:ascii="Calibri" w:hAnsi="Calibri" w:cs="Calibri"/>
          <w:sz w:val="22"/>
        </w:rPr>
        <w:t xml:space="preserve">323 cv 1285B U.S. District Ct., N.D Tex (11/23/23) Asazu, the plaintiff, sought a default judgment against Collectandcreate (CAC), the defendant, for trademark infringement and unfair competition. Asazu owned the trademark for "KOME" and operated a Japanese restaurant in Austin, Texas under this name. CAC opened a restaurant in Dallas, Texas also named "KOME," serving similar cuisine. Asazu filed a complaint and served CAC, but CAC failed to respond. Asazu then sought a default judgment, which was denied without prejudice by the court. The court outlined the legal standard for obtaining a default judgment, emphasizing that it is a drastic remedy. To obtain such a judgment, the plaintiff must demonstrate procedural compliance and the substantive merits of their claims. Additionally, the plaintiff must show entitlement to the relief sought, in this case, a permanent injunction. While the court found procedural compliance with the default judgment process, it concluded that there was an insufficient basis for judgment in the pleadings. Although Asazu demonstrated ownership of the trademark, it failed to sufficiently show a likelihood of confusion resulting from CAC's use of the mark. The court analyzed various factors including the strength of the mark, similarity of designs, similarity of services, identity of retail outlets and customers, defendant's intent, actual confusion, advertising media, and degree of care exercised by potential consumers. Ultimately, the court found that </w:t>
      </w:r>
      <w:r w:rsidRPr="00FF31CD">
        <w:rPr>
          <w:rFonts w:ascii="Calibri" w:hAnsi="Calibri" w:cs="Calibri"/>
          <w:sz w:val="22"/>
        </w:rPr>
        <w:lastRenderedPageBreak/>
        <w:t>Asazu had not provided enough evidence to support a finding of likely confusion among consumers. Furthermore, Asazu did not adequately demonstrate irreparable harm, a necessary element for granting injunctive relief. The court denied Asazu's motion for default judgment without prejudice, allowing Asazu to file a renewed motion if it addresses the factual deficiencies outlined in the court's order.</w:t>
      </w:r>
    </w:p>
    <w:p w14:paraId="2EFEE773" w14:textId="77777777" w:rsidR="004613C7" w:rsidRPr="00FF31CD" w:rsidRDefault="004613C7" w:rsidP="004613C7">
      <w:pPr>
        <w:pStyle w:val="ListParagraph"/>
        <w:ind w:left="1080" w:firstLine="0"/>
        <w:rPr>
          <w:rFonts w:ascii="Calibri" w:hAnsi="Calibri" w:cs="Calibri"/>
          <w:sz w:val="22"/>
        </w:rPr>
      </w:pPr>
    </w:p>
    <w:p w14:paraId="75ABF82A" w14:textId="4526936B" w:rsidR="004613C7" w:rsidRPr="00FF31CD" w:rsidRDefault="004613C7" w:rsidP="00810E74">
      <w:pPr>
        <w:pStyle w:val="ListParagraph"/>
        <w:numPr>
          <w:ilvl w:val="0"/>
          <w:numId w:val="1"/>
        </w:numPr>
        <w:rPr>
          <w:rFonts w:ascii="Calibri" w:hAnsi="Calibri" w:cs="Calibri"/>
          <w:sz w:val="22"/>
        </w:rPr>
      </w:pPr>
      <w:r w:rsidRPr="00FF31CD">
        <w:rPr>
          <w:rFonts w:ascii="Calibri" w:hAnsi="Calibri" w:cs="Calibri"/>
          <w:b/>
          <w:bCs/>
          <w:sz w:val="22"/>
        </w:rPr>
        <w:t xml:space="preserve">Amin v. </w:t>
      </w:r>
      <w:r w:rsidR="009D6624" w:rsidRPr="00FF31CD">
        <w:rPr>
          <w:rFonts w:ascii="Calibri" w:hAnsi="Calibri" w:cs="Calibri"/>
          <w:b/>
          <w:bCs/>
          <w:sz w:val="22"/>
        </w:rPr>
        <w:t>Hingorani, et al,</w:t>
      </w:r>
      <w:r w:rsidR="009D6624" w:rsidRPr="00FF31CD">
        <w:rPr>
          <w:rFonts w:ascii="Calibri" w:hAnsi="Calibri" w:cs="Calibri"/>
          <w:sz w:val="22"/>
        </w:rPr>
        <w:t xml:space="preserve"> No. 22 Civ. 9851 U.S. Dist. Ct. S.D. N.Y. (08/16/2024). </w:t>
      </w:r>
      <w:r w:rsidR="00865E70" w:rsidRPr="00FF31CD">
        <w:rPr>
          <w:rFonts w:ascii="Calibri" w:hAnsi="Calibri" w:cs="Calibri"/>
          <w:sz w:val="22"/>
        </w:rPr>
        <w:t xml:space="preserve">The plaintiff Amin operates </w:t>
      </w:r>
      <w:r w:rsidR="00BC3CC4" w:rsidRPr="00FF31CD">
        <w:rPr>
          <w:rFonts w:ascii="Calibri" w:hAnsi="Calibri" w:cs="Calibri"/>
          <w:sz w:val="22"/>
        </w:rPr>
        <w:t xml:space="preserve">a film festival called South Asian International Film Festival and since 2004, has held a </w:t>
      </w:r>
      <w:r w:rsidR="000F6139" w:rsidRPr="00FF31CD">
        <w:rPr>
          <w:rFonts w:ascii="Calibri" w:hAnsi="Calibri" w:cs="Calibri"/>
          <w:sz w:val="22"/>
        </w:rPr>
        <w:t xml:space="preserve">film </w:t>
      </w:r>
      <w:r w:rsidR="00BC3CC4" w:rsidRPr="00FF31CD">
        <w:rPr>
          <w:rFonts w:ascii="Calibri" w:hAnsi="Calibri" w:cs="Calibri"/>
          <w:sz w:val="22"/>
        </w:rPr>
        <w:t>festival in New York City screening South Asian films.</w:t>
      </w:r>
      <w:r w:rsidR="0036121C" w:rsidRPr="00FF31CD">
        <w:rPr>
          <w:rFonts w:ascii="Calibri" w:hAnsi="Calibri" w:cs="Calibri"/>
          <w:sz w:val="22"/>
        </w:rPr>
        <w:t xml:space="preserve"> Defendants conducted competing festivals featuring South </w:t>
      </w:r>
      <w:r w:rsidR="00B258E4" w:rsidRPr="00FF31CD">
        <w:rPr>
          <w:rFonts w:ascii="Calibri" w:hAnsi="Calibri" w:cs="Calibri"/>
          <w:sz w:val="22"/>
        </w:rPr>
        <w:t>Asian</w:t>
      </w:r>
      <w:r w:rsidR="0036121C" w:rsidRPr="00FF31CD">
        <w:rPr>
          <w:rFonts w:ascii="Calibri" w:hAnsi="Calibri" w:cs="Calibri"/>
          <w:sz w:val="22"/>
        </w:rPr>
        <w:t xml:space="preserve"> films</w:t>
      </w:r>
      <w:r w:rsidR="003E22BE" w:rsidRPr="00FF31CD">
        <w:rPr>
          <w:rFonts w:ascii="Calibri" w:hAnsi="Calibri" w:cs="Calibri"/>
          <w:sz w:val="22"/>
        </w:rPr>
        <w:t>, f</w:t>
      </w:r>
      <w:r w:rsidR="0036121C" w:rsidRPr="00FF31CD">
        <w:rPr>
          <w:rFonts w:ascii="Calibri" w:hAnsi="Calibri" w:cs="Calibri"/>
          <w:sz w:val="22"/>
        </w:rPr>
        <w:t>irst in Texas in 201</w:t>
      </w:r>
      <w:r w:rsidR="002C194B" w:rsidRPr="00FF31CD">
        <w:rPr>
          <w:rFonts w:ascii="Calibri" w:hAnsi="Calibri" w:cs="Calibri"/>
          <w:sz w:val="22"/>
        </w:rPr>
        <w:t>5 under the name “Dallas/Fort Worth South Asian Film Festival</w:t>
      </w:r>
      <w:r w:rsidR="003E22BE" w:rsidRPr="00FF31CD">
        <w:rPr>
          <w:rFonts w:ascii="Calibri" w:hAnsi="Calibri" w:cs="Calibri"/>
          <w:sz w:val="22"/>
        </w:rPr>
        <w:t>”</w:t>
      </w:r>
      <w:r w:rsidR="002C194B" w:rsidRPr="00FF31CD">
        <w:rPr>
          <w:rFonts w:ascii="Calibri" w:hAnsi="Calibri" w:cs="Calibri"/>
          <w:sz w:val="22"/>
        </w:rPr>
        <w:t xml:space="preserve"> and then in 2019, the defendants debuted a </w:t>
      </w:r>
      <w:r w:rsidR="003E22BE" w:rsidRPr="00FF31CD">
        <w:rPr>
          <w:rFonts w:ascii="Calibri" w:hAnsi="Calibri" w:cs="Calibri"/>
          <w:sz w:val="22"/>
        </w:rPr>
        <w:t>“</w:t>
      </w:r>
      <w:r w:rsidR="002C194B" w:rsidRPr="00FF31CD">
        <w:rPr>
          <w:rFonts w:ascii="Calibri" w:hAnsi="Calibri" w:cs="Calibri"/>
          <w:sz w:val="22"/>
        </w:rPr>
        <w:t xml:space="preserve">South Asian </w:t>
      </w:r>
      <w:r w:rsidR="003E22BE" w:rsidRPr="00FF31CD">
        <w:rPr>
          <w:rFonts w:ascii="Calibri" w:hAnsi="Calibri" w:cs="Calibri"/>
          <w:sz w:val="22"/>
        </w:rPr>
        <w:t>F</w:t>
      </w:r>
      <w:r w:rsidR="002C194B" w:rsidRPr="00FF31CD">
        <w:rPr>
          <w:rFonts w:ascii="Calibri" w:hAnsi="Calibri" w:cs="Calibri"/>
          <w:sz w:val="22"/>
        </w:rPr>
        <w:t xml:space="preserve">ilm </w:t>
      </w:r>
      <w:r w:rsidR="003E22BE" w:rsidRPr="00FF31CD">
        <w:rPr>
          <w:rFonts w:ascii="Calibri" w:hAnsi="Calibri" w:cs="Calibri"/>
          <w:sz w:val="22"/>
        </w:rPr>
        <w:t>F</w:t>
      </w:r>
      <w:r w:rsidR="002C194B" w:rsidRPr="00FF31CD">
        <w:rPr>
          <w:rFonts w:ascii="Calibri" w:hAnsi="Calibri" w:cs="Calibri"/>
          <w:sz w:val="22"/>
        </w:rPr>
        <w:t xml:space="preserve">estival in New York City using the name </w:t>
      </w:r>
      <w:r w:rsidR="003E22BE" w:rsidRPr="00FF31CD">
        <w:rPr>
          <w:rFonts w:ascii="Calibri" w:hAnsi="Calibri" w:cs="Calibri"/>
          <w:sz w:val="22"/>
        </w:rPr>
        <w:t>“</w:t>
      </w:r>
      <w:r w:rsidR="002C194B" w:rsidRPr="00FF31CD">
        <w:rPr>
          <w:rFonts w:ascii="Calibri" w:hAnsi="Calibri" w:cs="Calibri"/>
          <w:sz w:val="22"/>
        </w:rPr>
        <w:t>NYC South Asian Fil</w:t>
      </w:r>
      <w:r w:rsidR="003E22BE" w:rsidRPr="00FF31CD">
        <w:rPr>
          <w:rFonts w:ascii="Calibri" w:hAnsi="Calibri" w:cs="Calibri"/>
          <w:sz w:val="22"/>
        </w:rPr>
        <w:t>m</w:t>
      </w:r>
      <w:r w:rsidR="002C194B" w:rsidRPr="00FF31CD">
        <w:rPr>
          <w:rFonts w:ascii="Calibri" w:hAnsi="Calibri" w:cs="Calibri"/>
          <w:sz w:val="22"/>
        </w:rPr>
        <w:t xml:space="preserve"> Fes</w:t>
      </w:r>
      <w:r w:rsidR="00B258E4" w:rsidRPr="00FF31CD">
        <w:rPr>
          <w:rFonts w:ascii="Calibri" w:hAnsi="Calibri" w:cs="Calibri"/>
          <w:sz w:val="22"/>
        </w:rPr>
        <w:t>tival.</w:t>
      </w:r>
      <w:r w:rsidR="00426F3B" w:rsidRPr="00FF31CD">
        <w:rPr>
          <w:rFonts w:ascii="Calibri" w:hAnsi="Calibri" w:cs="Calibri"/>
          <w:sz w:val="22"/>
        </w:rPr>
        <w:t xml:space="preserve">” </w:t>
      </w:r>
      <w:r w:rsidR="00CD776B" w:rsidRPr="00FF31CD">
        <w:rPr>
          <w:rFonts w:ascii="Calibri" w:hAnsi="Calibri" w:cs="Calibri"/>
          <w:sz w:val="22"/>
        </w:rPr>
        <w:t xml:space="preserve">Plaintiff filed a trademark application in </w:t>
      </w:r>
      <w:r w:rsidR="009F14F1" w:rsidRPr="00FF31CD">
        <w:rPr>
          <w:rFonts w:ascii="Calibri" w:hAnsi="Calibri" w:cs="Calibri"/>
          <w:sz w:val="22"/>
        </w:rPr>
        <w:t>2019,</w:t>
      </w:r>
      <w:r w:rsidR="00CD776B" w:rsidRPr="00FF31CD">
        <w:rPr>
          <w:rFonts w:ascii="Calibri" w:hAnsi="Calibri" w:cs="Calibri"/>
          <w:sz w:val="22"/>
        </w:rPr>
        <w:t xml:space="preserve"> and the PTO rejected the application finding that the phrases and acronyms used are not eligible for trademark protection because they are geographically descriptive. </w:t>
      </w:r>
      <w:r w:rsidR="006E6AB7" w:rsidRPr="00FF31CD">
        <w:rPr>
          <w:rFonts w:ascii="Calibri" w:hAnsi="Calibri" w:cs="Calibri"/>
          <w:sz w:val="22"/>
        </w:rPr>
        <w:t xml:space="preserve">A suit was filed by </w:t>
      </w:r>
      <w:r w:rsidR="009F14F1" w:rsidRPr="00FF31CD">
        <w:rPr>
          <w:rFonts w:ascii="Calibri" w:hAnsi="Calibri" w:cs="Calibri"/>
          <w:sz w:val="22"/>
        </w:rPr>
        <w:t>the plaintiff</w:t>
      </w:r>
      <w:r w:rsidR="006E6AB7" w:rsidRPr="00FF31CD">
        <w:rPr>
          <w:rFonts w:ascii="Calibri" w:hAnsi="Calibri" w:cs="Calibri"/>
          <w:sz w:val="22"/>
        </w:rPr>
        <w:t xml:space="preserve"> alleging that defendants infringed on plaintiff’s </w:t>
      </w:r>
      <w:r w:rsidR="009F14F1" w:rsidRPr="00FF31CD">
        <w:rPr>
          <w:rFonts w:ascii="Calibri" w:hAnsi="Calibri" w:cs="Calibri"/>
          <w:sz w:val="22"/>
        </w:rPr>
        <w:t>trademarks and s</w:t>
      </w:r>
      <w:r w:rsidR="0074575B" w:rsidRPr="00FF31CD">
        <w:rPr>
          <w:rFonts w:ascii="Calibri" w:hAnsi="Calibri" w:cs="Calibri"/>
          <w:sz w:val="22"/>
        </w:rPr>
        <w:t xml:space="preserve">ought an injunction which was denied by the court. </w:t>
      </w:r>
      <w:r w:rsidR="00DD5E94" w:rsidRPr="00FF31CD">
        <w:rPr>
          <w:rFonts w:ascii="Calibri" w:hAnsi="Calibri" w:cs="Calibri"/>
          <w:sz w:val="22"/>
        </w:rPr>
        <w:t>The court said the plaintiff’s marks were not protectable as they were descriptive.</w:t>
      </w:r>
    </w:p>
    <w:p w14:paraId="75AF82DC" w14:textId="77777777" w:rsidR="0009247B" w:rsidRPr="00FF31CD" w:rsidRDefault="0009247B" w:rsidP="0009247B">
      <w:pPr>
        <w:pStyle w:val="ListParagraph"/>
        <w:rPr>
          <w:rFonts w:ascii="Calibri" w:hAnsi="Calibri" w:cs="Calibri"/>
          <w:sz w:val="22"/>
        </w:rPr>
      </w:pPr>
    </w:p>
    <w:p w14:paraId="6AC3D42C" w14:textId="1D8257A6" w:rsidR="0009247B" w:rsidRPr="00FF31CD" w:rsidRDefault="00623F24" w:rsidP="00810E74">
      <w:pPr>
        <w:pStyle w:val="ListParagraph"/>
        <w:numPr>
          <w:ilvl w:val="0"/>
          <w:numId w:val="1"/>
        </w:numPr>
        <w:rPr>
          <w:rFonts w:ascii="Calibri" w:hAnsi="Calibri" w:cs="Calibri"/>
          <w:sz w:val="22"/>
        </w:rPr>
      </w:pPr>
      <w:r w:rsidRPr="00FF31CD">
        <w:rPr>
          <w:rFonts w:ascii="Calibri" w:hAnsi="Calibri" w:cs="Calibri"/>
          <w:b/>
          <w:bCs/>
          <w:sz w:val="22"/>
        </w:rPr>
        <w:t>FBB IP LLC v. Big Boy Restaurant Group, LLC,</w:t>
      </w:r>
      <w:r w:rsidRPr="00FF31CD">
        <w:rPr>
          <w:rFonts w:ascii="Calibri" w:hAnsi="Calibri" w:cs="Calibri"/>
          <w:sz w:val="22"/>
        </w:rPr>
        <w:t xml:space="preserve"> 2025 WL 732297 (S.D. OH, 3/7/25). Plaintiff and defendant each had certain rights to operate Big Boy branded restaurants in specified locations.  Plaintiff operates 31 such restaurants.  Plaintiff complains that defendant is advertising the imminent opening of Big Boy restaurants in plaintiff’s territory. Plaintiff sues for trademark infringement, unfair competition, and a temporary restraining order.  The court found a likelihood of consumer confusion regarding the origin of the goods offered by the parties, and a likelihood of success on the merits by plaintiff.  The court therefore issued a temporary  restraining order barring defendant from using the Big Boy trademark or any confusingly similar within plaintiff’s territory while this lawsuit proceeds.</w:t>
      </w:r>
    </w:p>
    <w:p w14:paraId="7D1B7295" w14:textId="77777777" w:rsidR="00CD3803" w:rsidRPr="00FF31CD" w:rsidRDefault="00CD3803" w:rsidP="00CD3803">
      <w:pPr>
        <w:pStyle w:val="ListParagraph"/>
        <w:ind w:left="1080" w:firstLine="0"/>
        <w:rPr>
          <w:rFonts w:ascii="Calibri" w:hAnsi="Calibri" w:cs="Calibri"/>
          <w:sz w:val="22"/>
        </w:rPr>
      </w:pPr>
    </w:p>
    <w:p w14:paraId="2596B47B" w14:textId="77777777" w:rsidR="000B2EA9" w:rsidRPr="00FF31CD" w:rsidRDefault="000B2EA9" w:rsidP="000B2EA9">
      <w:pPr>
        <w:pStyle w:val="ListParagraph"/>
        <w:rPr>
          <w:rFonts w:ascii="Calibri" w:hAnsi="Calibri" w:cs="Calibri"/>
          <w:sz w:val="22"/>
        </w:rPr>
      </w:pPr>
    </w:p>
    <w:p w14:paraId="1CF8EC79" w14:textId="3DA7676E" w:rsidR="006E3F02" w:rsidRPr="00FF31CD" w:rsidRDefault="00E82E81" w:rsidP="000B2EA9">
      <w:pPr>
        <w:pStyle w:val="ListParagraph"/>
        <w:ind w:left="1080" w:hanging="1170"/>
        <w:rPr>
          <w:rFonts w:ascii="Calibri" w:hAnsi="Calibri" w:cs="Calibri"/>
          <w:b/>
          <w:bCs/>
          <w:sz w:val="22"/>
        </w:rPr>
      </w:pPr>
      <w:r w:rsidRPr="00FF31CD">
        <w:rPr>
          <w:rFonts w:ascii="Calibri" w:hAnsi="Calibri" w:cs="Calibri"/>
          <w:b/>
          <w:bCs/>
          <w:sz w:val="22"/>
        </w:rPr>
        <w:t>Trafficking</w:t>
      </w:r>
      <w:r w:rsidR="00E96225" w:rsidRPr="00FF31CD">
        <w:rPr>
          <w:rFonts w:ascii="Calibri" w:hAnsi="Calibri" w:cs="Calibri"/>
          <w:b/>
          <w:bCs/>
          <w:sz w:val="22"/>
        </w:rPr>
        <w:t xml:space="preserve"> (Sex/Human)</w:t>
      </w:r>
    </w:p>
    <w:p w14:paraId="26E1E5D3" w14:textId="77777777" w:rsidR="000B2EA9" w:rsidRPr="00FF31CD" w:rsidRDefault="000B2EA9" w:rsidP="000B2EA9">
      <w:pPr>
        <w:pStyle w:val="ListParagraph"/>
        <w:ind w:left="1080" w:hanging="1170"/>
        <w:rPr>
          <w:rFonts w:ascii="Calibri" w:hAnsi="Calibri" w:cs="Calibri"/>
          <w:b/>
          <w:bCs/>
          <w:sz w:val="22"/>
        </w:rPr>
      </w:pPr>
    </w:p>
    <w:p w14:paraId="1B4537A6" w14:textId="67C152F4" w:rsidR="009E0022" w:rsidRPr="00FF31CD" w:rsidRDefault="00913F9A" w:rsidP="00810E74">
      <w:pPr>
        <w:pStyle w:val="ListParagraph"/>
        <w:numPr>
          <w:ilvl w:val="0"/>
          <w:numId w:val="1"/>
        </w:numPr>
        <w:rPr>
          <w:rFonts w:ascii="Calibri" w:hAnsi="Calibri" w:cs="Calibri"/>
          <w:sz w:val="22"/>
        </w:rPr>
      </w:pPr>
      <w:r w:rsidRPr="00FF31CD">
        <w:rPr>
          <w:rFonts w:ascii="Calibri" w:hAnsi="Calibri" w:cs="Calibri"/>
          <w:b/>
          <w:bCs/>
          <w:sz w:val="22"/>
        </w:rPr>
        <w:t>K.O. v. G6 Hospitality, LLC, et al</w:t>
      </w:r>
      <w:r w:rsidRPr="00FF31CD">
        <w:rPr>
          <w:rFonts w:ascii="Calibri" w:hAnsi="Calibri" w:cs="Calibri"/>
          <w:sz w:val="22"/>
        </w:rPr>
        <w:t>., No. 22-11450 U.S. District Court E.D. Michigan (03/</w:t>
      </w:r>
      <w:r w:rsidR="00074E6C" w:rsidRPr="00FF31CD">
        <w:rPr>
          <w:rFonts w:ascii="Calibri" w:hAnsi="Calibri" w:cs="Calibri"/>
          <w:sz w:val="22"/>
        </w:rPr>
        <w:t>31/20</w:t>
      </w:r>
      <w:r w:rsidR="00633EA5" w:rsidRPr="00FF31CD">
        <w:rPr>
          <w:rFonts w:ascii="Calibri" w:hAnsi="Calibri" w:cs="Calibri"/>
          <w:sz w:val="22"/>
        </w:rPr>
        <w:t>24</w:t>
      </w:r>
      <w:r w:rsidR="00074E6C" w:rsidRPr="00FF31CD">
        <w:rPr>
          <w:rFonts w:ascii="Calibri" w:hAnsi="Calibri" w:cs="Calibri"/>
          <w:sz w:val="22"/>
        </w:rPr>
        <w:t xml:space="preserve">). </w:t>
      </w:r>
      <w:r w:rsidR="005063C6" w:rsidRPr="00FF31CD">
        <w:rPr>
          <w:rFonts w:ascii="Calibri" w:hAnsi="Calibri" w:cs="Calibri"/>
          <w:sz w:val="22"/>
        </w:rPr>
        <w:t xml:space="preserve">The plaintiff, K.O., alleged that she was </w:t>
      </w:r>
      <w:r w:rsidR="000F7A5B" w:rsidRPr="00FF31CD">
        <w:rPr>
          <w:rFonts w:ascii="Calibri" w:hAnsi="Calibri" w:cs="Calibri"/>
          <w:sz w:val="22"/>
        </w:rPr>
        <w:t xml:space="preserve">sex </w:t>
      </w:r>
      <w:r w:rsidR="005063C6" w:rsidRPr="00FF31CD">
        <w:rPr>
          <w:rFonts w:ascii="Calibri" w:hAnsi="Calibri" w:cs="Calibri"/>
          <w:sz w:val="22"/>
        </w:rPr>
        <w:t xml:space="preserve">trafficked between 2003 and 2014 at </w:t>
      </w:r>
      <w:r w:rsidR="00050190" w:rsidRPr="00FF31CD">
        <w:rPr>
          <w:rFonts w:ascii="Calibri" w:hAnsi="Calibri" w:cs="Calibri"/>
          <w:sz w:val="22"/>
        </w:rPr>
        <w:t xml:space="preserve">12 </w:t>
      </w:r>
      <w:r w:rsidR="005063C6" w:rsidRPr="00FF31CD">
        <w:rPr>
          <w:rFonts w:ascii="Calibri" w:hAnsi="Calibri" w:cs="Calibri"/>
          <w:sz w:val="22"/>
        </w:rPr>
        <w:t>various hotels owned by the defendants</w:t>
      </w:r>
      <w:r w:rsidR="00B62A46" w:rsidRPr="00FF31CD">
        <w:rPr>
          <w:rFonts w:ascii="Calibri" w:hAnsi="Calibri" w:cs="Calibri"/>
          <w:sz w:val="22"/>
        </w:rPr>
        <w:t xml:space="preserve"> in the Southeast Michigan region</w:t>
      </w:r>
      <w:r w:rsidR="005063C6" w:rsidRPr="00FF31CD">
        <w:rPr>
          <w:rFonts w:ascii="Calibri" w:hAnsi="Calibri" w:cs="Calibri"/>
          <w:sz w:val="22"/>
        </w:rPr>
        <w:t xml:space="preserve">. </w:t>
      </w:r>
      <w:r w:rsidR="007A0EC9" w:rsidRPr="00FF31CD">
        <w:rPr>
          <w:rFonts w:ascii="Calibri" w:hAnsi="Calibri" w:cs="Calibri"/>
          <w:sz w:val="22"/>
        </w:rPr>
        <w:t xml:space="preserve">She met her trafficker under the guise of a romantic relationship and began dating the plaintiff before </w:t>
      </w:r>
      <w:r w:rsidR="000D4299" w:rsidRPr="00FF31CD">
        <w:rPr>
          <w:rFonts w:ascii="Calibri" w:hAnsi="Calibri" w:cs="Calibri"/>
          <w:sz w:val="22"/>
        </w:rPr>
        <w:t xml:space="preserve">he </w:t>
      </w:r>
      <w:r w:rsidR="007A0EC9" w:rsidRPr="00FF31CD">
        <w:rPr>
          <w:rFonts w:ascii="Calibri" w:hAnsi="Calibri" w:cs="Calibri"/>
          <w:sz w:val="22"/>
        </w:rPr>
        <w:t>turn</w:t>
      </w:r>
      <w:r w:rsidR="000D4299" w:rsidRPr="00FF31CD">
        <w:rPr>
          <w:rFonts w:ascii="Calibri" w:hAnsi="Calibri" w:cs="Calibri"/>
          <w:sz w:val="22"/>
        </w:rPr>
        <w:t>ed</w:t>
      </w:r>
      <w:r w:rsidR="007A0EC9" w:rsidRPr="00FF31CD">
        <w:rPr>
          <w:rFonts w:ascii="Calibri" w:hAnsi="Calibri" w:cs="Calibri"/>
          <w:sz w:val="22"/>
        </w:rPr>
        <w:t xml:space="preserve"> violent and s</w:t>
      </w:r>
      <w:r w:rsidR="00414B81" w:rsidRPr="00FF31CD">
        <w:rPr>
          <w:rFonts w:ascii="Calibri" w:hAnsi="Calibri" w:cs="Calibri"/>
          <w:sz w:val="22"/>
        </w:rPr>
        <w:t>old</w:t>
      </w:r>
      <w:r w:rsidR="007A0EC9" w:rsidRPr="00FF31CD">
        <w:rPr>
          <w:rFonts w:ascii="Calibri" w:hAnsi="Calibri" w:cs="Calibri"/>
          <w:sz w:val="22"/>
        </w:rPr>
        <w:t xml:space="preserve"> her to buyers for sex. </w:t>
      </w:r>
      <w:r w:rsidR="005063C6" w:rsidRPr="00FF31CD">
        <w:rPr>
          <w:rFonts w:ascii="Calibri" w:hAnsi="Calibri" w:cs="Calibri"/>
          <w:sz w:val="22"/>
        </w:rPr>
        <w:t xml:space="preserve">She claims her trafficker used these hotels to facilitate her exploitation by paying for rooms in cash daily, requesting secluded rooms, soliciting buyers </w:t>
      </w:r>
      <w:r w:rsidR="008048C8" w:rsidRPr="00FF31CD">
        <w:rPr>
          <w:rFonts w:ascii="Calibri" w:hAnsi="Calibri" w:cs="Calibri"/>
          <w:sz w:val="22"/>
        </w:rPr>
        <w:t>in</w:t>
      </w:r>
      <w:r w:rsidR="005063C6" w:rsidRPr="00FF31CD">
        <w:rPr>
          <w:rFonts w:ascii="Calibri" w:hAnsi="Calibri" w:cs="Calibri"/>
          <w:sz w:val="22"/>
        </w:rPr>
        <w:t xml:space="preserve"> </w:t>
      </w:r>
      <w:r w:rsidR="001A6163" w:rsidRPr="00FF31CD">
        <w:rPr>
          <w:rFonts w:ascii="Calibri" w:hAnsi="Calibri" w:cs="Calibri"/>
          <w:sz w:val="22"/>
        </w:rPr>
        <w:t>lobbies,</w:t>
      </w:r>
      <w:r w:rsidR="005063C6" w:rsidRPr="00FF31CD">
        <w:rPr>
          <w:rFonts w:ascii="Calibri" w:hAnsi="Calibri" w:cs="Calibri"/>
          <w:sz w:val="22"/>
        </w:rPr>
        <w:t xml:space="preserve"> and parking lots and using the hotel internet to advertise sex services. </w:t>
      </w:r>
      <w:r w:rsidR="007B7DE5" w:rsidRPr="00FF31CD">
        <w:rPr>
          <w:rFonts w:ascii="Calibri" w:hAnsi="Calibri" w:cs="Calibri"/>
          <w:sz w:val="22"/>
        </w:rPr>
        <w:t>The claim w</w:t>
      </w:r>
      <w:r w:rsidR="000F7A5B" w:rsidRPr="00FF31CD">
        <w:rPr>
          <w:rFonts w:ascii="Calibri" w:hAnsi="Calibri" w:cs="Calibri"/>
          <w:sz w:val="22"/>
        </w:rPr>
        <w:t>a</w:t>
      </w:r>
      <w:r w:rsidR="007B7DE5" w:rsidRPr="00FF31CD">
        <w:rPr>
          <w:rFonts w:ascii="Calibri" w:hAnsi="Calibri" w:cs="Calibri"/>
          <w:sz w:val="22"/>
        </w:rPr>
        <w:t>s filed under the William Wilberforce Trafficking Victims Protection Reauthorization Act</w:t>
      </w:r>
      <w:r w:rsidR="007A0EC9" w:rsidRPr="00FF31CD">
        <w:rPr>
          <w:rFonts w:ascii="Calibri" w:hAnsi="Calibri" w:cs="Calibri"/>
          <w:sz w:val="22"/>
        </w:rPr>
        <w:t xml:space="preserve"> of 2008</w:t>
      </w:r>
      <w:r w:rsidR="00BF4493" w:rsidRPr="00FF31CD">
        <w:rPr>
          <w:rFonts w:ascii="Calibri" w:hAnsi="Calibri" w:cs="Calibri"/>
          <w:sz w:val="22"/>
        </w:rPr>
        <w:t xml:space="preserve"> (the “Act”)</w:t>
      </w:r>
      <w:r w:rsidR="00254174" w:rsidRPr="00FF31CD">
        <w:rPr>
          <w:rFonts w:ascii="Calibri" w:hAnsi="Calibri" w:cs="Calibri"/>
          <w:sz w:val="22"/>
        </w:rPr>
        <w:t xml:space="preserve"> and states that the defendants failed to prevent the suspicious activity and provided an environment conducive to her being exploited.</w:t>
      </w:r>
      <w:r w:rsidR="009D439F" w:rsidRPr="00FF31CD">
        <w:rPr>
          <w:rFonts w:ascii="Calibri" w:hAnsi="Calibri" w:cs="Calibri"/>
          <w:sz w:val="22"/>
        </w:rPr>
        <w:t xml:space="preserve"> Defendants filed motions to dismiss. </w:t>
      </w:r>
      <w:r w:rsidR="006B5DDF" w:rsidRPr="00FF31CD">
        <w:rPr>
          <w:rFonts w:ascii="Calibri" w:hAnsi="Calibri" w:cs="Calibri"/>
          <w:sz w:val="22"/>
        </w:rPr>
        <w:t>The arguments made by defendants include</w:t>
      </w:r>
      <w:r w:rsidR="00BF4493" w:rsidRPr="00FF31CD">
        <w:rPr>
          <w:rFonts w:ascii="Calibri" w:hAnsi="Calibri" w:cs="Calibri"/>
          <w:sz w:val="22"/>
        </w:rPr>
        <w:t xml:space="preserve"> the Act cannot app</w:t>
      </w:r>
      <w:r w:rsidR="000E67E9" w:rsidRPr="00FF31CD">
        <w:rPr>
          <w:rFonts w:ascii="Calibri" w:hAnsi="Calibri" w:cs="Calibri"/>
          <w:sz w:val="22"/>
        </w:rPr>
        <w:t>ly retroactively (before 2008), the plaintiff’s claims are barred by</w:t>
      </w:r>
      <w:r w:rsidR="00291245" w:rsidRPr="00FF31CD">
        <w:rPr>
          <w:rFonts w:ascii="Calibri" w:hAnsi="Calibri" w:cs="Calibri"/>
          <w:sz w:val="22"/>
        </w:rPr>
        <w:t xml:space="preserve"> the Act’s 10-year statute of limitations, the plaintiff engaged in impermissible shotgun pleading, </w:t>
      </w:r>
      <w:r w:rsidR="00D52851" w:rsidRPr="00FF31CD">
        <w:rPr>
          <w:rFonts w:ascii="Calibri" w:hAnsi="Calibri" w:cs="Calibri"/>
          <w:sz w:val="22"/>
        </w:rPr>
        <w:t xml:space="preserve">the plaintiff failed to allege that the defendants </w:t>
      </w:r>
      <w:r w:rsidR="00FB3CA1" w:rsidRPr="00FF31CD">
        <w:rPr>
          <w:rFonts w:ascii="Calibri" w:hAnsi="Calibri" w:cs="Calibri"/>
          <w:sz w:val="22"/>
        </w:rPr>
        <w:t>participated in</w:t>
      </w:r>
      <w:r w:rsidR="00834E73" w:rsidRPr="00FF31CD">
        <w:rPr>
          <w:rFonts w:ascii="Calibri" w:hAnsi="Calibri" w:cs="Calibri"/>
          <w:sz w:val="22"/>
        </w:rPr>
        <w:t xml:space="preserve"> a</w:t>
      </w:r>
      <w:r w:rsidR="00FB3CA1" w:rsidRPr="00FF31CD">
        <w:rPr>
          <w:rFonts w:ascii="Calibri" w:hAnsi="Calibri" w:cs="Calibri"/>
          <w:sz w:val="22"/>
        </w:rPr>
        <w:t xml:space="preserve"> sex</w:t>
      </w:r>
      <w:r w:rsidR="00834E73" w:rsidRPr="00FF31CD">
        <w:rPr>
          <w:rFonts w:ascii="Calibri" w:hAnsi="Calibri" w:cs="Calibri"/>
          <w:sz w:val="22"/>
        </w:rPr>
        <w:t xml:space="preserve"> trafficking</w:t>
      </w:r>
      <w:r w:rsidR="00FB3CA1" w:rsidRPr="00FF31CD">
        <w:rPr>
          <w:rFonts w:ascii="Calibri" w:hAnsi="Calibri" w:cs="Calibri"/>
          <w:sz w:val="22"/>
        </w:rPr>
        <w:t xml:space="preserve"> venture under the Act and that at</w:t>
      </w:r>
      <w:r w:rsidR="00834E73" w:rsidRPr="00FF31CD">
        <w:rPr>
          <w:rFonts w:ascii="Calibri" w:hAnsi="Calibri" w:cs="Calibri"/>
          <w:sz w:val="22"/>
        </w:rPr>
        <w:t xml:space="preserve"> t</w:t>
      </w:r>
      <w:r w:rsidR="00FB3CA1" w:rsidRPr="00FF31CD">
        <w:rPr>
          <w:rFonts w:ascii="Calibri" w:hAnsi="Calibri" w:cs="Calibri"/>
          <w:sz w:val="22"/>
        </w:rPr>
        <w:t xml:space="preserve">he plaintiff failed so sufficiently allege vicarious liability and an agency relationship </w:t>
      </w:r>
      <w:r w:rsidR="00834E73" w:rsidRPr="00FF31CD">
        <w:rPr>
          <w:rFonts w:ascii="Calibri" w:hAnsi="Calibri" w:cs="Calibri"/>
          <w:sz w:val="22"/>
        </w:rPr>
        <w:t>on behalf</w:t>
      </w:r>
      <w:r w:rsidR="00FB3CA1" w:rsidRPr="00FF31CD">
        <w:rPr>
          <w:rFonts w:ascii="Calibri" w:hAnsi="Calibri" w:cs="Calibri"/>
          <w:sz w:val="22"/>
        </w:rPr>
        <w:t xml:space="preserve"> of the hotel </w:t>
      </w:r>
      <w:r w:rsidR="00834E73" w:rsidRPr="00FF31CD">
        <w:rPr>
          <w:rFonts w:ascii="Calibri" w:hAnsi="Calibri" w:cs="Calibri"/>
          <w:sz w:val="22"/>
        </w:rPr>
        <w:t>chains</w:t>
      </w:r>
      <w:r w:rsidR="00FB3CA1" w:rsidRPr="00FF31CD">
        <w:rPr>
          <w:rFonts w:ascii="Calibri" w:hAnsi="Calibri" w:cs="Calibri"/>
          <w:sz w:val="22"/>
        </w:rPr>
        <w:t xml:space="preserve">. </w:t>
      </w:r>
      <w:r w:rsidR="00022DBD" w:rsidRPr="00FF31CD">
        <w:rPr>
          <w:rFonts w:ascii="Calibri" w:hAnsi="Calibri" w:cs="Calibri"/>
          <w:sz w:val="22"/>
        </w:rPr>
        <w:t>The court examined each of the claims and defenses as it pertains to each of the defendants.  Many of the defendants were granted their motions to dismiss</w:t>
      </w:r>
      <w:r w:rsidR="002F3593" w:rsidRPr="00FF31CD">
        <w:rPr>
          <w:rFonts w:ascii="Calibri" w:hAnsi="Calibri" w:cs="Calibri"/>
          <w:sz w:val="22"/>
        </w:rPr>
        <w:t xml:space="preserve"> finding that the </w:t>
      </w:r>
      <w:r w:rsidR="002F3593" w:rsidRPr="00FF31CD">
        <w:rPr>
          <w:rFonts w:ascii="Calibri" w:hAnsi="Calibri" w:cs="Calibri"/>
          <w:sz w:val="22"/>
        </w:rPr>
        <w:lastRenderedPageBreak/>
        <w:t>plaintiff failed to stat</w:t>
      </w:r>
      <w:r w:rsidR="00FC39F1" w:rsidRPr="00FF31CD">
        <w:rPr>
          <w:rFonts w:ascii="Calibri" w:hAnsi="Calibri" w:cs="Calibri"/>
          <w:sz w:val="22"/>
        </w:rPr>
        <w:t>e</w:t>
      </w:r>
      <w:r w:rsidR="002F3593" w:rsidRPr="00FF31CD">
        <w:rPr>
          <w:rFonts w:ascii="Calibri" w:hAnsi="Calibri" w:cs="Calibri"/>
          <w:sz w:val="22"/>
        </w:rPr>
        <w:t xml:space="preserve"> a direct or indirect claim for liability under the Act. </w:t>
      </w:r>
      <w:r w:rsidR="002F0819" w:rsidRPr="00FF31CD">
        <w:rPr>
          <w:rFonts w:ascii="Calibri" w:hAnsi="Calibri" w:cs="Calibri"/>
          <w:sz w:val="22"/>
        </w:rPr>
        <w:t>Some were not granted their motions to dismiss, and the case continues.</w:t>
      </w:r>
    </w:p>
    <w:p w14:paraId="2DC38D77" w14:textId="77777777" w:rsidR="00815075" w:rsidRPr="00FF31CD" w:rsidRDefault="00815075" w:rsidP="00815075">
      <w:pPr>
        <w:pStyle w:val="ListParagraph"/>
        <w:ind w:left="1080" w:firstLine="0"/>
        <w:rPr>
          <w:rFonts w:ascii="Calibri" w:hAnsi="Calibri" w:cs="Calibri"/>
          <w:sz w:val="22"/>
        </w:rPr>
      </w:pPr>
    </w:p>
    <w:p w14:paraId="14D3DEC0" w14:textId="601B7FD4" w:rsidR="00570EAC" w:rsidRPr="00FF31CD" w:rsidRDefault="00570EAC" w:rsidP="00810E74">
      <w:pPr>
        <w:pStyle w:val="ListParagraph"/>
        <w:numPr>
          <w:ilvl w:val="0"/>
          <w:numId w:val="1"/>
        </w:numPr>
        <w:rPr>
          <w:rFonts w:ascii="Calibri" w:hAnsi="Calibri" w:cs="Calibri"/>
          <w:sz w:val="22"/>
        </w:rPr>
      </w:pPr>
      <w:r w:rsidRPr="00FF31CD">
        <w:rPr>
          <w:rFonts w:ascii="Calibri" w:hAnsi="Calibri" w:cs="Calibri"/>
          <w:b/>
          <w:bCs/>
          <w:sz w:val="22"/>
        </w:rPr>
        <w:t>Doe  K.R. v. Choice Hotels, et al</w:t>
      </w:r>
      <w:r w:rsidRPr="00FF31CD">
        <w:rPr>
          <w:rFonts w:ascii="Calibri" w:hAnsi="Calibri" w:cs="Calibri"/>
          <w:sz w:val="22"/>
        </w:rPr>
        <w:t>,</w:t>
      </w:r>
      <w:r w:rsidR="00F94A57" w:rsidRPr="00FF31CD">
        <w:rPr>
          <w:rFonts w:ascii="Calibri" w:hAnsi="Calibri" w:cs="Calibri"/>
          <w:sz w:val="22"/>
        </w:rPr>
        <w:t xml:space="preserve"> </w:t>
      </w:r>
      <w:r w:rsidRPr="00FF31CD">
        <w:rPr>
          <w:rFonts w:ascii="Calibri" w:hAnsi="Calibri" w:cs="Calibri"/>
          <w:sz w:val="22"/>
        </w:rPr>
        <w:t>No. 6</w:t>
      </w:r>
      <w:r w:rsidR="00F94A57" w:rsidRPr="00FF31CD">
        <w:rPr>
          <w:rFonts w:ascii="Calibri" w:hAnsi="Calibri" w:cs="Calibri"/>
          <w:sz w:val="22"/>
        </w:rPr>
        <w:t>:23-cv-1012 JSSLHP U.S. Dist. Ct., M.D. Florida, Orlando Division (0612/2024).</w:t>
      </w:r>
      <w:r w:rsidR="007E0B0E" w:rsidRPr="00FF31CD">
        <w:rPr>
          <w:rFonts w:ascii="Calibri" w:hAnsi="Calibri" w:cs="Calibri"/>
          <w:sz w:val="22"/>
        </w:rPr>
        <w:t xml:space="preserve"> The plaintiff</w:t>
      </w:r>
      <w:r w:rsidR="00AB2268" w:rsidRPr="00FF31CD">
        <w:rPr>
          <w:rFonts w:ascii="Calibri" w:hAnsi="Calibri" w:cs="Calibri"/>
          <w:sz w:val="22"/>
        </w:rPr>
        <w:t xml:space="preserve">, an </w:t>
      </w:r>
      <w:r w:rsidR="00D108A9" w:rsidRPr="00FF31CD">
        <w:rPr>
          <w:rFonts w:ascii="Calibri" w:hAnsi="Calibri" w:cs="Calibri"/>
          <w:sz w:val="22"/>
        </w:rPr>
        <w:t>18-year-old</w:t>
      </w:r>
      <w:r w:rsidR="00AB2268" w:rsidRPr="00FF31CD">
        <w:rPr>
          <w:rFonts w:ascii="Calibri" w:hAnsi="Calibri" w:cs="Calibri"/>
          <w:sz w:val="22"/>
        </w:rPr>
        <w:t>,</w:t>
      </w:r>
      <w:r w:rsidR="007E0B0E" w:rsidRPr="00FF31CD">
        <w:rPr>
          <w:rFonts w:ascii="Calibri" w:hAnsi="Calibri" w:cs="Calibri"/>
          <w:sz w:val="22"/>
        </w:rPr>
        <w:t xml:space="preserve"> alleged she was sex trafficked at the Suburban Extended Stay hotel in Orlando</w:t>
      </w:r>
      <w:r w:rsidR="005A2EC3" w:rsidRPr="00FF31CD">
        <w:rPr>
          <w:rFonts w:ascii="Calibri" w:hAnsi="Calibri" w:cs="Calibri"/>
          <w:sz w:val="22"/>
        </w:rPr>
        <w:t xml:space="preserve"> and that </w:t>
      </w:r>
      <w:r w:rsidR="00DC37FE" w:rsidRPr="00FF31CD">
        <w:rPr>
          <w:rFonts w:ascii="Calibri" w:hAnsi="Calibri" w:cs="Calibri"/>
          <w:sz w:val="22"/>
        </w:rPr>
        <w:t xml:space="preserve">that both her and her traffickers exhibited “obvious and apparent signs of trafficking” including </w:t>
      </w:r>
      <w:r w:rsidR="00AB2268" w:rsidRPr="00FF31CD">
        <w:rPr>
          <w:rFonts w:ascii="Calibri" w:hAnsi="Calibri" w:cs="Calibri"/>
          <w:sz w:val="22"/>
        </w:rPr>
        <w:t>interactions</w:t>
      </w:r>
      <w:r w:rsidR="00DC37FE" w:rsidRPr="00FF31CD">
        <w:rPr>
          <w:rFonts w:ascii="Calibri" w:hAnsi="Calibri" w:cs="Calibri"/>
          <w:sz w:val="22"/>
        </w:rPr>
        <w:t xml:space="preserve"> with the front desk staff</w:t>
      </w:r>
      <w:r w:rsidR="00AB2268" w:rsidRPr="00FF31CD">
        <w:rPr>
          <w:rFonts w:ascii="Calibri" w:hAnsi="Calibri" w:cs="Calibri"/>
          <w:sz w:val="22"/>
        </w:rPr>
        <w:t>.</w:t>
      </w:r>
      <w:r w:rsidR="00DE4547" w:rsidRPr="00FF31CD">
        <w:rPr>
          <w:rFonts w:ascii="Calibri" w:hAnsi="Calibri" w:cs="Calibri"/>
          <w:sz w:val="22"/>
        </w:rPr>
        <w:t xml:space="preserve"> </w:t>
      </w:r>
      <w:r w:rsidR="009E1C33" w:rsidRPr="00FF31CD">
        <w:rPr>
          <w:rFonts w:ascii="Calibri" w:hAnsi="Calibri" w:cs="Calibri"/>
          <w:sz w:val="22"/>
        </w:rPr>
        <w:t xml:space="preserve">The defendants moved to dismiss but the court rejected their motion stating that the plaintiff </w:t>
      </w:r>
      <w:r w:rsidR="00562902" w:rsidRPr="00FF31CD">
        <w:rPr>
          <w:rFonts w:ascii="Calibri" w:hAnsi="Calibri" w:cs="Calibri"/>
          <w:sz w:val="22"/>
        </w:rPr>
        <w:t>did sufficiently</w:t>
      </w:r>
      <w:r w:rsidR="009E1C33" w:rsidRPr="00FF31CD">
        <w:rPr>
          <w:rFonts w:ascii="Calibri" w:hAnsi="Calibri" w:cs="Calibri"/>
          <w:sz w:val="22"/>
        </w:rPr>
        <w:t xml:space="preserve"> plead facts to</w:t>
      </w:r>
      <w:r w:rsidR="00562902" w:rsidRPr="00FF31CD">
        <w:rPr>
          <w:rFonts w:ascii="Calibri" w:hAnsi="Calibri" w:cs="Calibri"/>
          <w:sz w:val="22"/>
        </w:rPr>
        <w:t xml:space="preserve"> </w:t>
      </w:r>
      <w:r w:rsidR="009E1C33" w:rsidRPr="00FF31CD">
        <w:rPr>
          <w:rFonts w:ascii="Calibri" w:hAnsi="Calibri" w:cs="Calibri"/>
          <w:sz w:val="22"/>
        </w:rPr>
        <w:t>establish each element of her claims</w:t>
      </w:r>
      <w:r w:rsidR="00562902" w:rsidRPr="00FF31CD">
        <w:rPr>
          <w:rFonts w:ascii="Calibri" w:hAnsi="Calibri" w:cs="Calibri"/>
          <w:sz w:val="22"/>
        </w:rPr>
        <w:t>.</w:t>
      </w:r>
    </w:p>
    <w:p w14:paraId="1729DC4A" w14:textId="77777777" w:rsidR="006363B3" w:rsidRPr="00FF31CD" w:rsidRDefault="006363B3" w:rsidP="006363B3">
      <w:pPr>
        <w:pStyle w:val="ListParagraph"/>
        <w:rPr>
          <w:rFonts w:ascii="Calibri" w:hAnsi="Calibri" w:cs="Calibri"/>
          <w:sz w:val="22"/>
        </w:rPr>
      </w:pPr>
    </w:p>
    <w:p w14:paraId="22C5BE7F" w14:textId="7B085311" w:rsidR="006363B3" w:rsidRPr="00FF31CD" w:rsidRDefault="006363B3" w:rsidP="00810E74">
      <w:pPr>
        <w:pStyle w:val="ListParagraph"/>
        <w:numPr>
          <w:ilvl w:val="0"/>
          <w:numId w:val="1"/>
        </w:numPr>
        <w:rPr>
          <w:rFonts w:ascii="Calibri" w:hAnsi="Calibri" w:cs="Calibri"/>
          <w:sz w:val="22"/>
        </w:rPr>
      </w:pPr>
      <w:r w:rsidRPr="00FF31CD">
        <w:rPr>
          <w:rFonts w:ascii="Calibri" w:hAnsi="Calibri" w:cs="Calibri"/>
          <w:b/>
          <w:bCs/>
          <w:sz w:val="22"/>
        </w:rPr>
        <w:t xml:space="preserve">Doe </w:t>
      </w:r>
      <w:r w:rsidR="00D937D8" w:rsidRPr="00FF31CD">
        <w:rPr>
          <w:rFonts w:ascii="Calibri" w:hAnsi="Calibri" w:cs="Calibri"/>
          <w:b/>
          <w:bCs/>
          <w:sz w:val="22"/>
        </w:rPr>
        <w:t xml:space="preserve">R.A. </w:t>
      </w:r>
      <w:r w:rsidRPr="00FF31CD">
        <w:rPr>
          <w:rFonts w:ascii="Calibri" w:hAnsi="Calibri" w:cs="Calibri"/>
          <w:b/>
          <w:bCs/>
          <w:sz w:val="22"/>
        </w:rPr>
        <w:t xml:space="preserve">v. </w:t>
      </w:r>
      <w:r w:rsidR="00BF745B" w:rsidRPr="00FF31CD">
        <w:rPr>
          <w:rFonts w:ascii="Calibri" w:hAnsi="Calibri" w:cs="Calibri"/>
          <w:b/>
          <w:bCs/>
          <w:sz w:val="22"/>
        </w:rPr>
        <w:t>Best Western International, Inc, et al,</w:t>
      </w:r>
      <w:r w:rsidR="00BF745B" w:rsidRPr="00FF31CD">
        <w:rPr>
          <w:rFonts w:ascii="Calibri" w:hAnsi="Calibri" w:cs="Calibri"/>
          <w:sz w:val="22"/>
        </w:rPr>
        <w:t xml:space="preserve"> No 2:23</w:t>
      </w:r>
      <w:r w:rsidR="00C20267" w:rsidRPr="00FF31CD">
        <w:rPr>
          <w:rFonts w:ascii="Calibri" w:hAnsi="Calibri" w:cs="Calibri"/>
          <w:sz w:val="22"/>
        </w:rPr>
        <w:t>-</w:t>
      </w:r>
      <w:r w:rsidR="00BF745B" w:rsidRPr="00FF31CD">
        <w:rPr>
          <w:rFonts w:ascii="Calibri" w:hAnsi="Calibri" w:cs="Calibri"/>
          <w:sz w:val="22"/>
        </w:rPr>
        <w:t>cv</w:t>
      </w:r>
      <w:r w:rsidR="00C20267" w:rsidRPr="00FF31CD">
        <w:rPr>
          <w:rFonts w:ascii="Calibri" w:hAnsi="Calibri" w:cs="Calibri"/>
          <w:sz w:val="22"/>
        </w:rPr>
        <w:t>-</w:t>
      </w:r>
      <w:r w:rsidR="00BF745B" w:rsidRPr="00FF31CD">
        <w:rPr>
          <w:rFonts w:ascii="Calibri" w:hAnsi="Calibri" w:cs="Calibri"/>
          <w:sz w:val="22"/>
        </w:rPr>
        <w:t>3459</w:t>
      </w:r>
      <w:r w:rsidR="00697C76" w:rsidRPr="00FF31CD">
        <w:rPr>
          <w:rFonts w:ascii="Calibri" w:hAnsi="Calibri" w:cs="Calibri"/>
          <w:sz w:val="22"/>
        </w:rPr>
        <w:t xml:space="preserve">, U.S. Dist. Ct., S.D. Ohio, Eastern Division (08/16/2024). </w:t>
      </w:r>
      <w:r w:rsidR="00EB092B" w:rsidRPr="00FF31CD">
        <w:rPr>
          <w:rFonts w:ascii="Calibri" w:hAnsi="Calibri" w:cs="Calibri"/>
          <w:sz w:val="22"/>
        </w:rPr>
        <w:t>Another case arising under the Trafficking Victims Protection Reauthorization Act (TVPRA)</w:t>
      </w:r>
      <w:r w:rsidR="00D937D8" w:rsidRPr="00FF31CD">
        <w:rPr>
          <w:rFonts w:ascii="Calibri" w:hAnsi="Calibri" w:cs="Calibri"/>
          <w:sz w:val="22"/>
        </w:rPr>
        <w:t xml:space="preserve">. </w:t>
      </w:r>
      <w:r w:rsidR="00BA7983" w:rsidRPr="00FF31CD">
        <w:rPr>
          <w:rFonts w:ascii="Calibri" w:hAnsi="Calibri" w:cs="Calibri"/>
          <w:sz w:val="22"/>
        </w:rPr>
        <w:t xml:space="preserve">The plaintiff claimed she was trafficked for at </w:t>
      </w:r>
      <w:r w:rsidR="0045715B" w:rsidRPr="00FF31CD">
        <w:rPr>
          <w:rFonts w:ascii="Calibri" w:hAnsi="Calibri" w:cs="Calibri"/>
          <w:sz w:val="22"/>
        </w:rPr>
        <w:t>least</w:t>
      </w:r>
      <w:r w:rsidR="00BA7983" w:rsidRPr="00FF31CD">
        <w:rPr>
          <w:rFonts w:ascii="Calibri" w:hAnsi="Calibri" w:cs="Calibri"/>
          <w:sz w:val="22"/>
        </w:rPr>
        <w:t xml:space="preserve"> eight months in 2012 and 2013 at several hotels in the Columbus Area. </w:t>
      </w:r>
      <w:r w:rsidR="0045715B" w:rsidRPr="00FF31CD">
        <w:rPr>
          <w:rFonts w:ascii="Calibri" w:hAnsi="Calibri" w:cs="Calibri"/>
          <w:sz w:val="22"/>
        </w:rPr>
        <w:t xml:space="preserve">She alleged that defendants failed to </w:t>
      </w:r>
      <w:r w:rsidR="007135DF" w:rsidRPr="00FF31CD">
        <w:rPr>
          <w:rFonts w:ascii="Calibri" w:hAnsi="Calibri" w:cs="Calibri"/>
          <w:sz w:val="22"/>
        </w:rPr>
        <w:t>act</w:t>
      </w:r>
      <w:r w:rsidR="0045715B" w:rsidRPr="00FF31CD">
        <w:rPr>
          <w:rFonts w:ascii="Calibri" w:hAnsi="Calibri" w:cs="Calibri"/>
          <w:sz w:val="22"/>
        </w:rPr>
        <w:t xml:space="preserve"> knowing the widespread and ongoing human trafficking occurring </w:t>
      </w:r>
      <w:r w:rsidR="00B45BA9" w:rsidRPr="00FF31CD">
        <w:rPr>
          <w:rFonts w:ascii="Calibri" w:hAnsi="Calibri" w:cs="Calibri"/>
          <w:sz w:val="22"/>
        </w:rPr>
        <w:t xml:space="preserve">in </w:t>
      </w:r>
      <w:r w:rsidR="0045715B" w:rsidRPr="00FF31CD">
        <w:rPr>
          <w:rFonts w:ascii="Calibri" w:hAnsi="Calibri" w:cs="Calibri"/>
          <w:sz w:val="22"/>
        </w:rPr>
        <w:t>their hotels.</w:t>
      </w:r>
      <w:r w:rsidR="00070C78" w:rsidRPr="00FF31CD">
        <w:rPr>
          <w:rFonts w:ascii="Calibri" w:hAnsi="Calibri" w:cs="Calibri"/>
          <w:sz w:val="22"/>
        </w:rPr>
        <w:t xml:space="preserve"> The defendants filed a motion to dismiss based on</w:t>
      </w:r>
      <w:r w:rsidR="00011B26" w:rsidRPr="00FF31CD">
        <w:rPr>
          <w:rFonts w:ascii="Calibri" w:hAnsi="Calibri" w:cs="Calibri"/>
          <w:sz w:val="22"/>
        </w:rPr>
        <w:t xml:space="preserve"> not being the property party.  Best Western has independent contractors and not agents running hotels under their brand.</w:t>
      </w:r>
      <w:r w:rsidR="0045715B" w:rsidRPr="00FF31CD">
        <w:rPr>
          <w:rFonts w:ascii="Calibri" w:hAnsi="Calibri" w:cs="Calibri"/>
          <w:sz w:val="22"/>
        </w:rPr>
        <w:t xml:space="preserve"> </w:t>
      </w:r>
      <w:r w:rsidR="00C055B5" w:rsidRPr="00FF31CD">
        <w:rPr>
          <w:rFonts w:ascii="Calibri" w:hAnsi="Calibri" w:cs="Calibri"/>
          <w:sz w:val="22"/>
        </w:rPr>
        <w:t xml:space="preserve">And that defendants did not exercise direct or indirect control over the employees who worked at the hotel. </w:t>
      </w:r>
      <w:r w:rsidR="009F29E0" w:rsidRPr="00FF31CD">
        <w:rPr>
          <w:rFonts w:ascii="Calibri" w:hAnsi="Calibri" w:cs="Calibri"/>
          <w:sz w:val="22"/>
        </w:rPr>
        <w:t>The court dismissed the defendants’ motion to dismiss as the plaintiff did establish a claim under TVPRA.</w:t>
      </w:r>
    </w:p>
    <w:p w14:paraId="4FF7E9D9" w14:textId="77777777" w:rsidR="003B4BE5" w:rsidRPr="00FF31CD" w:rsidRDefault="003B4BE5" w:rsidP="003B4BE5">
      <w:pPr>
        <w:pStyle w:val="ListParagraph"/>
        <w:rPr>
          <w:rFonts w:ascii="Calibri" w:hAnsi="Calibri" w:cs="Calibri"/>
          <w:sz w:val="22"/>
        </w:rPr>
      </w:pPr>
    </w:p>
    <w:p w14:paraId="4615C049" w14:textId="41796956" w:rsidR="00E96225" w:rsidRPr="00FF31CD" w:rsidRDefault="00E96225" w:rsidP="00810E74">
      <w:pPr>
        <w:pStyle w:val="ListParagraph"/>
        <w:numPr>
          <w:ilvl w:val="0"/>
          <w:numId w:val="1"/>
        </w:numPr>
        <w:rPr>
          <w:rFonts w:ascii="Calibri" w:hAnsi="Calibri" w:cs="Calibri"/>
          <w:sz w:val="22"/>
        </w:rPr>
      </w:pPr>
      <w:r w:rsidRPr="00FF31CD">
        <w:rPr>
          <w:rFonts w:ascii="Calibri" w:hAnsi="Calibri" w:cs="Calibri"/>
          <w:b/>
          <w:bCs/>
          <w:sz w:val="22"/>
        </w:rPr>
        <w:t>Doe v. Wyndham Hotels &amp; Resorts, Inc.,</w:t>
      </w:r>
      <w:r w:rsidRPr="00FF31CD">
        <w:rPr>
          <w:rFonts w:ascii="Calibri" w:hAnsi="Calibri" w:cs="Calibri"/>
          <w:sz w:val="22"/>
        </w:rPr>
        <w:t xml:space="preserve"> 225 WL 342092 (NJ, 1/30/25); P.C. v. D. Fort Hotel, LLC, 2025 WL 404296 (Colo., 2/5/25); Doe v. Radisson Hospitality, Inc., 2025 WL 349556 (W.D. Tex., 1/21/2025).  In these cases, plaintiffs allege they were sex trafficked at defendant hotels.  Defendants include the hotels and their franchisors.  All have unsuccessfully sought dismissal of the cases, primarily on the ground they were unaware of the occurrence of the trafficking.  The court typically denies the dismissal based on the following indicators which the hotel is expected to detect:  the trafficker pays for the room with cash or prepaid card; heavy foot traffic in  and out of plaintiff’s hotel room at all hours by men who are not hotel guests and who stay only briefly; traffickers regularly linger around the hotel or in the parking lot while plaintiff is with a customer;  Do Not Disturb signs are used to keep housekeeping staff away; plaintiffs appear in and around the hotel in sexually explicit clothing; plaintiffs look bruised, malnourished, and/or drug or alcohol-impaired; and online reviews of the hotel attest to the presence of sex trafficking.  Concerning franchisors, courts have found that the standards and controls imposed by franchisors on franchisees covering many aspects of hotel operations may result in vicarious liability and are sufficient to deny dismissal of the case by motion .</w:t>
      </w:r>
    </w:p>
    <w:p w14:paraId="245373B4" w14:textId="77777777" w:rsidR="00E96225" w:rsidRPr="00FF31CD" w:rsidRDefault="00E96225" w:rsidP="00E96225">
      <w:pPr>
        <w:pStyle w:val="ListParagraph"/>
        <w:ind w:left="1080" w:firstLine="0"/>
        <w:rPr>
          <w:rFonts w:ascii="Calibri" w:hAnsi="Calibri" w:cs="Calibri"/>
          <w:sz w:val="22"/>
        </w:rPr>
      </w:pPr>
    </w:p>
    <w:p w14:paraId="15F44445" w14:textId="77777777" w:rsidR="003D0D0B" w:rsidRPr="00FF31CD" w:rsidRDefault="00E96225" w:rsidP="00810E74">
      <w:pPr>
        <w:pStyle w:val="ListParagraph"/>
        <w:numPr>
          <w:ilvl w:val="0"/>
          <w:numId w:val="1"/>
        </w:numPr>
        <w:rPr>
          <w:rFonts w:ascii="Calibri" w:hAnsi="Calibri" w:cs="Calibri"/>
          <w:sz w:val="22"/>
        </w:rPr>
      </w:pPr>
      <w:r w:rsidRPr="00FF31CD">
        <w:rPr>
          <w:rFonts w:ascii="Calibri" w:hAnsi="Calibri" w:cs="Calibri"/>
          <w:b/>
          <w:bCs/>
          <w:sz w:val="22"/>
        </w:rPr>
        <w:t>Doe v. Hotel Ivy et al</w:t>
      </w:r>
      <w:r w:rsidRPr="00FF31CD">
        <w:rPr>
          <w:rFonts w:ascii="Calibri" w:hAnsi="Calibri" w:cs="Calibri"/>
          <w:sz w:val="22"/>
        </w:rPr>
        <w:t xml:space="preserve">, 2025 WL 26653 (D. MN, 2025).  Plaintiff alleges she was sex trafficked and is suing the defendant hotel and others on a variety of related federal and state claims.  Plaintiff seeks authorization to proceed in this litigation under a pseudonym to protect her privacy and prevent retaliations.  Defendants do not oppose the motion.  The court granted the motion noting that publicly identifying plaintiff would likely cause severe psychological harm due to the nature of the crimes alleged. </w:t>
      </w:r>
    </w:p>
    <w:p w14:paraId="56EBB58D" w14:textId="77777777" w:rsidR="003D0D0B" w:rsidRPr="00FF31CD" w:rsidRDefault="003D0D0B" w:rsidP="003D0D0B">
      <w:pPr>
        <w:pStyle w:val="ListParagraph"/>
        <w:rPr>
          <w:rFonts w:ascii="Calibri" w:hAnsi="Calibri" w:cs="Calibri"/>
          <w:sz w:val="22"/>
        </w:rPr>
      </w:pPr>
    </w:p>
    <w:p w14:paraId="3F52363F" w14:textId="7E04B72D" w:rsidR="003B4BE5" w:rsidRPr="00FF31CD" w:rsidRDefault="00E96225" w:rsidP="003D0D0B">
      <w:pPr>
        <w:pStyle w:val="ListParagraph"/>
        <w:ind w:left="1080" w:firstLine="0"/>
        <w:rPr>
          <w:rFonts w:ascii="Calibri" w:hAnsi="Calibri" w:cs="Calibri"/>
          <w:sz w:val="22"/>
        </w:rPr>
      </w:pPr>
      <w:r w:rsidRPr="00FF31CD">
        <w:rPr>
          <w:rFonts w:ascii="Calibri" w:hAnsi="Calibri" w:cs="Calibri"/>
          <w:sz w:val="22"/>
        </w:rPr>
        <w:t xml:space="preserve"> </w:t>
      </w:r>
    </w:p>
    <w:p w14:paraId="2AF11C6C" w14:textId="77777777" w:rsidR="0014799B" w:rsidRPr="00FF31CD" w:rsidRDefault="0014799B" w:rsidP="0014799B">
      <w:pPr>
        <w:pStyle w:val="ListParagraph"/>
        <w:rPr>
          <w:rFonts w:ascii="Calibri" w:hAnsi="Calibri" w:cs="Calibri"/>
          <w:sz w:val="22"/>
        </w:rPr>
      </w:pPr>
    </w:p>
    <w:p w14:paraId="07F1BD0A" w14:textId="7998F10C" w:rsidR="00EF40B9" w:rsidRPr="00FF31CD" w:rsidRDefault="00EF40B9">
      <w:pPr>
        <w:rPr>
          <w:rFonts w:ascii="Calibri" w:hAnsi="Calibri" w:cs="Calibri"/>
          <w:b/>
          <w:bCs/>
          <w:sz w:val="24"/>
          <w:szCs w:val="24"/>
        </w:rPr>
      </w:pPr>
      <w:r w:rsidRPr="00FF31CD">
        <w:rPr>
          <w:rFonts w:ascii="Calibri" w:hAnsi="Calibri" w:cs="Calibri"/>
          <w:b/>
          <w:bCs/>
          <w:sz w:val="24"/>
          <w:szCs w:val="24"/>
        </w:rPr>
        <w:t>Tribal</w:t>
      </w:r>
      <w:r w:rsidR="00F55BD6" w:rsidRPr="00FF31CD">
        <w:rPr>
          <w:rFonts w:ascii="Calibri" w:hAnsi="Calibri" w:cs="Calibri"/>
          <w:b/>
          <w:bCs/>
          <w:sz w:val="24"/>
          <w:szCs w:val="24"/>
        </w:rPr>
        <w:t xml:space="preserve"> </w:t>
      </w:r>
      <w:r w:rsidR="00C0785C" w:rsidRPr="00FF31CD">
        <w:rPr>
          <w:rFonts w:ascii="Calibri" w:hAnsi="Calibri" w:cs="Calibri"/>
          <w:b/>
          <w:bCs/>
          <w:sz w:val="24"/>
          <w:szCs w:val="24"/>
        </w:rPr>
        <w:t>Sovereign Immunity</w:t>
      </w:r>
    </w:p>
    <w:p w14:paraId="52F53312" w14:textId="65DDBC2B" w:rsidR="00C0785C" w:rsidRPr="00FF31CD" w:rsidRDefault="003F6F84" w:rsidP="00810E74">
      <w:pPr>
        <w:pStyle w:val="ListParagraph"/>
        <w:numPr>
          <w:ilvl w:val="0"/>
          <w:numId w:val="1"/>
        </w:numPr>
        <w:rPr>
          <w:rFonts w:ascii="Calibri" w:hAnsi="Calibri" w:cs="Calibri"/>
          <w:sz w:val="22"/>
        </w:rPr>
      </w:pPr>
      <w:r w:rsidRPr="00FF31CD">
        <w:rPr>
          <w:rFonts w:ascii="Calibri" w:hAnsi="Calibri" w:cs="Calibri"/>
          <w:b/>
          <w:bCs/>
          <w:sz w:val="22"/>
        </w:rPr>
        <w:lastRenderedPageBreak/>
        <w:t>Jie Xia , et al, v. Harrah’s Arizona Corporation</w:t>
      </w:r>
      <w:r w:rsidRPr="00FF31CD">
        <w:rPr>
          <w:rFonts w:ascii="Calibri" w:hAnsi="Calibri" w:cs="Calibri"/>
          <w:sz w:val="22"/>
        </w:rPr>
        <w:t>, No CV-23-</w:t>
      </w:r>
      <w:r w:rsidR="009821C4" w:rsidRPr="00FF31CD">
        <w:rPr>
          <w:rFonts w:ascii="Calibri" w:hAnsi="Calibri" w:cs="Calibri"/>
          <w:sz w:val="22"/>
        </w:rPr>
        <w:t>02086-PHX-GMS U.S. District Court, D. Arizona (05/10/</w:t>
      </w:r>
      <w:r w:rsidR="00633EA5" w:rsidRPr="00FF31CD">
        <w:rPr>
          <w:rFonts w:ascii="Calibri" w:hAnsi="Calibri" w:cs="Calibri"/>
          <w:sz w:val="22"/>
        </w:rPr>
        <w:t>2024</w:t>
      </w:r>
      <w:r w:rsidR="009821C4" w:rsidRPr="00FF31CD">
        <w:rPr>
          <w:rFonts w:ascii="Calibri" w:hAnsi="Calibri" w:cs="Calibri"/>
          <w:sz w:val="22"/>
        </w:rPr>
        <w:t xml:space="preserve">). </w:t>
      </w:r>
      <w:r w:rsidR="00C10F36" w:rsidRPr="00FF31CD">
        <w:rPr>
          <w:rFonts w:ascii="Calibri" w:hAnsi="Calibri" w:cs="Calibri"/>
          <w:sz w:val="22"/>
        </w:rPr>
        <w:t>The plaintiffs, five non-white female former employees, alleged that the defendant violated federal laws, including 42 U.S.C. § 1981 and Title VII, by terminating their employment. The termination stemmed from their involvement in operating an electronic craps game called Roll To Win, which was vulnerable to cheating strategies. Despite being suspended and investigated</w:t>
      </w:r>
      <w:r w:rsidR="0014585C" w:rsidRPr="00FF31CD">
        <w:rPr>
          <w:rFonts w:ascii="Calibri" w:hAnsi="Calibri" w:cs="Calibri"/>
          <w:sz w:val="22"/>
        </w:rPr>
        <w:t>, without any charges brought against them</w:t>
      </w:r>
      <w:r w:rsidR="00C10F36" w:rsidRPr="00FF31CD">
        <w:rPr>
          <w:rFonts w:ascii="Calibri" w:hAnsi="Calibri" w:cs="Calibri"/>
          <w:sz w:val="22"/>
        </w:rPr>
        <w:t>, the plaintiffs were ultimately terminated, while Caucasian and male employees were not. The defendant filed a motion to dismiss based on tribal sovereign immunity, as it operated under a management contract with the Ak-Chin Indian Community. However, the court denied the motion, ruling that the defendant was not an arm of the tribe and therefore could not claim sovereign immunity.</w:t>
      </w:r>
    </w:p>
    <w:p w14:paraId="14A0325A" w14:textId="0AE947E0" w:rsidR="001E4B2D" w:rsidRPr="00FF31CD" w:rsidRDefault="001E4B2D">
      <w:pPr>
        <w:rPr>
          <w:rFonts w:ascii="Calibri" w:hAnsi="Calibri" w:cs="Calibri"/>
          <w:b/>
          <w:bCs/>
        </w:rPr>
      </w:pPr>
      <w:r w:rsidRPr="00FF31CD">
        <w:rPr>
          <w:rFonts w:ascii="Calibri" w:hAnsi="Calibri" w:cs="Calibri"/>
          <w:b/>
          <w:bCs/>
          <w:sz w:val="24"/>
          <w:szCs w:val="24"/>
        </w:rPr>
        <w:t>Venue</w:t>
      </w:r>
    </w:p>
    <w:p w14:paraId="1F68302F" w14:textId="44B5D4F0" w:rsidR="001E4B2D" w:rsidRPr="00FF31CD" w:rsidRDefault="001E4B2D" w:rsidP="00810E74">
      <w:pPr>
        <w:pStyle w:val="ListParagraph"/>
        <w:numPr>
          <w:ilvl w:val="0"/>
          <w:numId w:val="1"/>
        </w:numPr>
        <w:rPr>
          <w:rFonts w:ascii="Calibri" w:hAnsi="Calibri" w:cs="Calibri"/>
          <w:sz w:val="22"/>
        </w:rPr>
      </w:pPr>
      <w:r w:rsidRPr="00FF31CD">
        <w:rPr>
          <w:rFonts w:ascii="Calibri" w:hAnsi="Calibri" w:cs="Calibri"/>
          <w:b/>
          <w:bCs/>
          <w:sz w:val="22"/>
        </w:rPr>
        <w:t xml:space="preserve">Filsoof V. Wheelock Street Capital, LLC, et al., </w:t>
      </w:r>
      <w:r w:rsidRPr="00FF31CD">
        <w:rPr>
          <w:rFonts w:ascii="Calibri" w:hAnsi="Calibri" w:cs="Calibri"/>
          <w:sz w:val="22"/>
        </w:rPr>
        <w:t>No. 22 Civ. 9359</w:t>
      </w:r>
      <w:r w:rsidR="00AB621B" w:rsidRPr="00FF31CD">
        <w:rPr>
          <w:rFonts w:ascii="Calibri" w:hAnsi="Calibri" w:cs="Calibri"/>
          <w:sz w:val="22"/>
        </w:rPr>
        <w:t xml:space="preserve"> </w:t>
      </w:r>
      <w:r w:rsidRPr="00FF31CD">
        <w:rPr>
          <w:rFonts w:ascii="Calibri" w:hAnsi="Calibri" w:cs="Calibri"/>
          <w:sz w:val="22"/>
        </w:rPr>
        <w:t>(NRB) U.S. District Court S. D. N. Y. (11/30/23).</w:t>
      </w:r>
      <w:r w:rsidR="00AB621B" w:rsidRPr="00FF31CD">
        <w:rPr>
          <w:rFonts w:ascii="Calibri" w:eastAsiaTheme="minorHAnsi" w:hAnsi="Calibri" w:cs="Calibri"/>
          <w:color w:val="0D0D0D"/>
          <w:kern w:val="2"/>
          <w:sz w:val="30"/>
          <w:szCs w:val="30"/>
          <w:shd w:val="clear" w:color="auto" w:fill="FFFFFF"/>
          <w14:ligatures w14:val="standardContextual"/>
        </w:rPr>
        <w:t xml:space="preserve"> </w:t>
      </w:r>
      <w:r w:rsidR="00AB621B" w:rsidRPr="00FF31CD">
        <w:rPr>
          <w:rFonts w:ascii="Calibri" w:hAnsi="Calibri" w:cs="Calibri"/>
          <w:sz w:val="22"/>
        </w:rPr>
        <w:t>Teresa Rene Filsoof, a Georgia resident, filed a lawsuit against Wheelock Street Capital, LLC, and WS CE Resort Owner, LLC, alleging negligence resulting in injury at a hotel and restaurant in Braselton, Georgia. The defendants, headquartered in Connecticut, moved to transfer the case from the Southern District of New York to the Northern District of Georgia. The court granted the defendants' motion, citing lack of personal jurisdiction over the defendants in New York and that the events giving rise to the claim occurred in Georgia. Therefore, the case was ordered to be transferred to the Northern District of Georgia.</w:t>
      </w:r>
    </w:p>
    <w:p w14:paraId="201463BD" w14:textId="77777777" w:rsidR="001E4B2D" w:rsidRPr="00753FCC" w:rsidRDefault="001E4B2D" w:rsidP="001E4B2D">
      <w:pPr>
        <w:pStyle w:val="ListParagraph"/>
        <w:ind w:firstLine="0"/>
        <w:rPr>
          <w:rFonts w:ascii="Calibri" w:hAnsi="Calibri" w:cs="Calibri"/>
          <w:b/>
          <w:bCs/>
          <w:szCs w:val="24"/>
        </w:rPr>
      </w:pPr>
    </w:p>
    <w:sectPr w:rsidR="001E4B2D" w:rsidRPr="00753FC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13BA6" w14:textId="77777777" w:rsidR="004417AC" w:rsidRDefault="004417AC" w:rsidP="000C60E9">
      <w:pPr>
        <w:spacing w:after="0" w:line="240" w:lineRule="auto"/>
      </w:pPr>
      <w:r>
        <w:separator/>
      </w:r>
    </w:p>
  </w:endnote>
  <w:endnote w:type="continuationSeparator" w:id="0">
    <w:p w14:paraId="6E593DDC" w14:textId="77777777" w:rsidR="004417AC" w:rsidRDefault="004417AC" w:rsidP="000C6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578676"/>
      <w:docPartObj>
        <w:docPartGallery w:val="Page Numbers (Bottom of Page)"/>
        <w:docPartUnique/>
      </w:docPartObj>
    </w:sdtPr>
    <w:sdtEndPr>
      <w:rPr>
        <w:color w:val="7F7F7F" w:themeColor="background1" w:themeShade="7F"/>
        <w:spacing w:val="60"/>
      </w:rPr>
    </w:sdtEndPr>
    <w:sdtContent>
      <w:p w14:paraId="5E85E0EB" w14:textId="7C5A9594" w:rsidR="00B57634" w:rsidRDefault="00B5763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F19B864" w14:textId="77777777" w:rsidR="000C60E9" w:rsidRDefault="000C6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EF215" w14:textId="77777777" w:rsidR="004417AC" w:rsidRDefault="004417AC" w:rsidP="000C60E9">
      <w:pPr>
        <w:spacing w:after="0" w:line="240" w:lineRule="auto"/>
      </w:pPr>
      <w:r>
        <w:separator/>
      </w:r>
    </w:p>
  </w:footnote>
  <w:footnote w:type="continuationSeparator" w:id="0">
    <w:p w14:paraId="4C967ECB" w14:textId="77777777" w:rsidR="004417AC" w:rsidRDefault="004417AC" w:rsidP="000C60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4FAB"/>
    <w:multiLevelType w:val="hybridMultilevel"/>
    <w:tmpl w:val="4530AFB0"/>
    <w:lvl w:ilvl="0" w:tplc="20665896">
      <w:start w:val="1"/>
      <w:numFmt w:val="decimal"/>
      <w:lvlText w:val="%1."/>
      <w:lvlJc w:val="left"/>
      <w:pPr>
        <w:ind w:left="1800" w:hanging="360"/>
      </w:pPr>
      <w:rPr>
        <w:rFonts w:asciiTheme="minorHAnsi" w:hAnsiTheme="minorHAnsi" w:cstheme="minorHAns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E940FE"/>
    <w:multiLevelType w:val="hybridMultilevel"/>
    <w:tmpl w:val="681A0A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1A1115"/>
    <w:multiLevelType w:val="hybridMultilevel"/>
    <w:tmpl w:val="2C7CEE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C44E7B"/>
    <w:multiLevelType w:val="hybridMultilevel"/>
    <w:tmpl w:val="0D7E00FA"/>
    <w:lvl w:ilvl="0" w:tplc="793443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55411"/>
    <w:multiLevelType w:val="hybridMultilevel"/>
    <w:tmpl w:val="B4466F1C"/>
    <w:lvl w:ilvl="0" w:tplc="20665896">
      <w:start w:val="1"/>
      <w:numFmt w:val="decimal"/>
      <w:lvlText w:val="%1."/>
      <w:lvlJc w:val="left"/>
      <w:pPr>
        <w:ind w:left="1080" w:hanging="360"/>
      </w:pPr>
      <w:rPr>
        <w:rFonts w:asciiTheme="minorHAnsi" w:hAnsiTheme="minorHAnsi" w:cstheme="minorHAns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66F94"/>
    <w:multiLevelType w:val="hybridMultilevel"/>
    <w:tmpl w:val="A746A684"/>
    <w:lvl w:ilvl="0" w:tplc="20665896">
      <w:start w:val="1"/>
      <w:numFmt w:val="decimal"/>
      <w:lvlText w:val="%1."/>
      <w:lvlJc w:val="left"/>
      <w:pPr>
        <w:ind w:left="1080" w:hanging="360"/>
      </w:pPr>
      <w:rPr>
        <w:rFonts w:asciiTheme="minorHAnsi" w:hAnsiTheme="minorHAnsi" w:cstheme="minorHAns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F6DE6"/>
    <w:multiLevelType w:val="hybridMultilevel"/>
    <w:tmpl w:val="B5587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B74C0"/>
    <w:multiLevelType w:val="hybridMultilevel"/>
    <w:tmpl w:val="7062FE7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24F7735"/>
    <w:multiLevelType w:val="hybridMultilevel"/>
    <w:tmpl w:val="73B45698"/>
    <w:lvl w:ilvl="0" w:tplc="20665896">
      <w:start w:val="1"/>
      <w:numFmt w:val="decimal"/>
      <w:lvlText w:val="%1."/>
      <w:lvlJc w:val="left"/>
      <w:pPr>
        <w:ind w:left="1080" w:hanging="360"/>
      </w:pPr>
      <w:rPr>
        <w:rFonts w:asciiTheme="minorHAnsi" w:hAnsiTheme="minorHAnsi" w:cstheme="minorHAns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10869"/>
    <w:multiLevelType w:val="hybridMultilevel"/>
    <w:tmpl w:val="C14E6A18"/>
    <w:lvl w:ilvl="0" w:tplc="20665896">
      <w:start w:val="1"/>
      <w:numFmt w:val="decimal"/>
      <w:lvlText w:val="%1."/>
      <w:lvlJc w:val="left"/>
      <w:pPr>
        <w:ind w:left="1170" w:hanging="360"/>
      </w:pPr>
      <w:rPr>
        <w:rFonts w:asciiTheme="minorHAnsi" w:hAnsiTheme="minorHAnsi" w:cstheme="minorHAnsi" w:hint="default"/>
        <w:b/>
        <w:bCs/>
        <w:sz w:val="22"/>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7924F7"/>
    <w:multiLevelType w:val="hybridMultilevel"/>
    <w:tmpl w:val="BCC42938"/>
    <w:lvl w:ilvl="0" w:tplc="20665896">
      <w:start w:val="1"/>
      <w:numFmt w:val="decimal"/>
      <w:lvlText w:val="%1."/>
      <w:lvlJc w:val="left"/>
      <w:pPr>
        <w:ind w:left="1080" w:hanging="360"/>
      </w:pPr>
      <w:rPr>
        <w:rFonts w:asciiTheme="minorHAnsi" w:hAnsiTheme="minorHAnsi" w:cstheme="minorHAns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8534D"/>
    <w:multiLevelType w:val="hybridMultilevel"/>
    <w:tmpl w:val="CDEC5904"/>
    <w:lvl w:ilvl="0" w:tplc="20665896">
      <w:start w:val="1"/>
      <w:numFmt w:val="decimal"/>
      <w:lvlText w:val="%1."/>
      <w:lvlJc w:val="left"/>
      <w:pPr>
        <w:ind w:left="1080" w:hanging="360"/>
      </w:pPr>
      <w:rPr>
        <w:rFonts w:asciiTheme="minorHAnsi" w:hAnsiTheme="minorHAnsi" w:cstheme="minorHAns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AC4904"/>
    <w:multiLevelType w:val="hybridMultilevel"/>
    <w:tmpl w:val="D63EA0B6"/>
    <w:lvl w:ilvl="0" w:tplc="20665896">
      <w:start w:val="1"/>
      <w:numFmt w:val="decimal"/>
      <w:lvlText w:val="%1."/>
      <w:lvlJc w:val="left"/>
      <w:pPr>
        <w:ind w:left="1170" w:hanging="360"/>
      </w:pPr>
      <w:rPr>
        <w:rFonts w:asciiTheme="minorHAnsi" w:hAnsiTheme="minorHAnsi" w:cstheme="minorHAnsi" w:hint="default"/>
        <w:b/>
        <w:bCs/>
        <w:sz w:val="22"/>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5FA57EFC"/>
    <w:multiLevelType w:val="hybridMultilevel"/>
    <w:tmpl w:val="32E00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A6D60"/>
    <w:multiLevelType w:val="hybridMultilevel"/>
    <w:tmpl w:val="B9103204"/>
    <w:lvl w:ilvl="0" w:tplc="20665896">
      <w:start w:val="1"/>
      <w:numFmt w:val="decimal"/>
      <w:lvlText w:val="%1."/>
      <w:lvlJc w:val="left"/>
      <w:pPr>
        <w:ind w:left="1080" w:hanging="360"/>
      </w:pPr>
      <w:rPr>
        <w:rFonts w:asciiTheme="minorHAnsi" w:hAnsiTheme="minorHAnsi" w:cstheme="minorHAns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DA5EDA"/>
    <w:multiLevelType w:val="hybridMultilevel"/>
    <w:tmpl w:val="462C6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EB497C"/>
    <w:multiLevelType w:val="hybridMultilevel"/>
    <w:tmpl w:val="B7329820"/>
    <w:lvl w:ilvl="0" w:tplc="20665896">
      <w:start w:val="1"/>
      <w:numFmt w:val="decimal"/>
      <w:lvlText w:val="%1."/>
      <w:lvlJc w:val="left"/>
      <w:pPr>
        <w:ind w:left="1080" w:hanging="360"/>
      </w:pPr>
      <w:rPr>
        <w:rFonts w:asciiTheme="minorHAnsi" w:hAnsiTheme="minorHAnsi" w:cstheme="minorHAns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00CD6"/>
    <w:multiLevelType w:val="hybridMultilevel"/>
    <w:tmpl w:val="3E140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5F5E40"/>
    <w:multiLevelType w:val="hybridMultilevel"/>
    <w:tmpl w:val="15F47F44"/>
    <w:lvl w:ilvl="0" w:tplc="FFFFFFFF">
      <w:start w:val="1"/>
      <w:numFmt w:val="decimal"/>
      <w:lvlText w:val="%1."/>
      <w:lvlJc w:val="left"/>
      <w:pPr>
        <w:ind w:left="1080" w:hanging="360"/>
      </w:pPr>
      <w:rPr>
        <w:rFonts w:asciiTheme="minorHAnsi" w:hAnsiTheme="minorHAnsi" w:cstheme="minorHAnsi"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3C7E5D"/>
    <w:multiLevelType w:val="hybridMultilevel"/>
    <w:tmpl w:val="096AA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BA5F5F"/>
    <w:multiLevelType w:val="hybridMultilevel"/>
    <w:tmpl w:val="F0EE8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000820">
    <w:abstractNumId w:val="8"/>
  </w:num>
  <w:num w:numId="2" w16cid:durableId="427236050">
    <w:abstractNumId w:val="7"/>
  </w:num>
  <w:num w:numId="3" w16cid:durableId="1039013369">
    <w:abstractNumId w:val="4"/>
  </w:num>
  <w:num w:numId="4" w16cid:durableId="1790050623">
    <w:abstractNumId w:val="2"/>
  </w:num>
  <w:num w:numId="5" w16cid:durableId="704870691">
    <w:abstractNumId w:val="20"/>
  </w:num>
  <w:num w:numId="6" w16cid:durableId="79256404">
    <w:abstractNumId w:val="19"/>
  </w:num>
  <w:num w:numId="7" w16cid:durableId="1252470823">
    <w:abstractNumId w:val="17"/>
  </w:num>
  <w:num w:numId="8" w16cid:durableId="119299264">
    <w:abstractNumId w:val="15"/>
  </w:num>
  <w:num w:numId="9" w16cid:durableId="879627931">
    <w:abstractNumId w:val="16"/>
  </w:num>
  <w:num w:numId="10" w16cid:durableId="2112431306">
    <w:abstractNumId w:val="0"/>
  </w:num>
  <w:num w:numId="11" w16cid:durableId="382678209">
    <w:abstractNumId w:val="5"/>
  </w:num>
  <w:num w:numId="12" w16cid:durableId="279651825">
    <w:abstractNumId w:val="3"/>
  </w:num>
  <w:num w:numId="13" w16cid:durableId="1114710413">
    <w:abstractNumId w:val="14"/>
  </w:num>
  <w:num w:numId="14" w16cid:durableId="395738161">
    <w:abstractNumId w:val="9"/>
  </w:num>
  <w:num w:numId="15" w16cid:durableId="255945400">
    <w:abstractNumId w:val="13"/>
  </w:num>
  <w:num w:numId="16" w16cid:durableId="184055969">
    <w:abstractNumId w:val="18"/>
  </w:num>
  <w:num w:numId="17" w16cid:durableId="2083601540">
    <w:abstractNumId w:val="11"/>
  </w:num>
  <w:num w:numId="18" w16cid:durableId="1975479207">
    <w:abstractNumId w:val="10"/>
  </w:num>
  <w:num w:numId="19" w16cid:durableId="1287151904">
    <w:abstractNumId w:val="12"/>
  </w:num>
  <w:num w:numId="20" w16cid:durableId="942686869">
    <w:abstractNumId w:val="1"/>
  </w:num>
  <w:num w:numId="21" w16cid:durableId="17997018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20"/>
    <w:rsid w:val="0000052F"/>
    <w:rsid w:val="00001341"/>
    <w:rsid w:val="000043E5"/>
    <w:rsid w:val="0000662B"/>
    <w:rsid w:val="00006D7C"/>
    <w:rsid w:val="0000726C"/>
    <w:rsid w:val="00007FAE"/>
    <w:rsid w:val="00007FDD"/>
    <w:rsid w:val="00011B26"/>
    <w:rsid w:val="00013572"/>
    <w:rsid w:val="00014785"/>
    <w:rsid w:val="00015E09"/>
    <w:rsid w:val="0002163C"/>
    <w:rsid w:val="000228CC"/>
    <w:rsid w:val="00022DBD"/>
    <w:rsid w:val="0002577A"/>
    <w:rsid w:val="00026689"/>
    <w:rsid w:val="0002710F"/>
    <w:rsid w:val="00031A6D"/>
    <w:rsid w:val="00031F9C"/>
    <w:rsid w:val="00032342"/>
    <w:rsid w:val="00033929"/>
    <w:rsid w:val="000357AF"/>
    <w:rsid w:val="00036C21"/>
    <w:rsid w:val="000376AA"/>
    <w:rsid w:val="0003781F"/>
    <w:rsid w:val="00040576"/>
    <w:rsid w:val="0004084E"/>
    <w:rsid w:val="00040A51"/>
    <w:rsid w:val="00040B5C"/>
    <w:rsid w:val="00046CA7"/>
    <w:rsid w:val="00050190"/>
    <w:rsid w:val="000514B3"/>
    <w:rsid w:val="0005312C"/>
    <w:rsid w:val="0005580D"/>
    <w:rsid w:val="00055C65"/>
    <w:rsid w:val="00057655"/>
    <w:rsid w:val="000577E2"/>
    <w:rsid w:val="00060823"/>
    <w:rsid w:val="0006246C"/>
    <w:rsid w:val="00062CD3"/>
    <w:rsid w:val="00066588"/>
    <w:rsid w:val="000672B8"/>
    <w:rsid w:val="00067CB9"/>
    <w:rsid w:val="00070A94"/>
    <w:rsid w:val="00070C78"/>
    <w:rsid w:val="00073ACF"/>
    <w:rsid w:val="00074A34"/>
    <w:rsid w:val="00074E6C"/>
    <w:rsid w:val="00076ED8"/>
    <w:rsid w:val="00077FB6"/>
    <w:rsid w:val="00081E93"/>
    <w:rsid w:val="00082B1B"/>
    <w:rsid w:val="00082BE4"/>
    <w:rsid w:val="00083F89"/>
    <w:rsid w:val="0008510A"/>
    <w:rsid w:val="00086CA9"/>
    <w:rsid w:val="000907CC"/>
    <w:rsid w:val="000912ED"/>
    <w:rsid w:val="0009198A"/>
    <w:rsid w:val="0009247B"/>
    <w:rsid w:val="000942F4"/>
    <w:rsid w:val="000945B0"/>
    <w:rsid w:val="00097A56"/>
    <w:rsid w:val="000A0062"/>
    <w:rsid w:val="000A2ACE"/>
    <w:rsid w:val="000B0FA7"/>
    <w:rsid w:val="000B2A6D"/>
    <w:rsid w:val="000B2EA9"/>
    <w:rsid w:val="000B34F3"/>
    <w:rsid w:val="000B3E8A"/>
    <w:rsid w:val="000B425F"/>
    <w:rsid w:val="000B79F1"/>
    <w:rsid w:val="000C14C1"/>
    <w:rsid w:val="000C26FC"/>
    <w:rsid w:val="000C4CB5"/>
    <w:rsid w:val="000C60E9"/>
    <w:rsid w:val="000D4299"/>
    <w:rsid w:val="000D5849"/>
    <w:rsid w:val="000D5884"/>
    <w:rsid w:val="000E0072"/>
    <w:rsid w:val="000E2257"/>
    <w:rsid w:val="000E31D9"/>
    <w:rsid w:val="000E414D"/>
    <w:rsid w:val="000E67E9"/>
    <w:rsid w:val="000E7C34"/>
    <w:rsid w:val="000F1081"/>
    <w:rsid w:val="000F1713"/>
    <w:rsid w:val="000F2D9A"/>
    <w:rsid w:val="000F460A"/>
    <w:rsid w:val="000F6139"/>
    <w:rsid w:val="000F68E9"/>
    <w:rsid w:val="000F7172"/>
    <w:rsid w:val="000F7A5B"/>
    <w:rsid w:val="000F7DD3"/>
    <w:rsid w:val="001002F3"/>
    <w:rsid w:val="00101E00"/>
    <w:rsid w:val="001020C5"/>
    <w:rsid w:val="00104420"/>
    <w:rsid w:val="00104630"/>
    <w:rsid w:val="0011217A"/>
    <w:rsid w:val="00112A70"/>
    <w:rsid w:val="00116199"/>
    <w:rsid w:val="001164A0"/>
    <w:rsid w:val="001168E4"/>
    <w:rsid w:val="00120AE5"/>
    <w:rsid w:val="00120F87"/>
    <w:rsid w:val="00121EFA"/>
    <w:rsid w:val="00122D0F"/>
    <w:rsid w:val="001237F2"/>
    <w:rsid w:val="001246DF"/>
    <w:rsid w:val="00124DE9"/>
    <w:rsid w:val="00125F51"/>
    <w:rsid w:val="00127C96"/>
    <w:rsid w:val="0013133F"/>
    <w:rsid w:val="00133A13"/>
    <w:rsid w:val="00133ED5"/>
    <w:rsid w:val="001366E8"/>
    <w:rsid w:val="00137D49"/>
    <w:rsid w:val="001418BD"/>
    <w:rsid w:val="001428E5"/>
    <w:rsid w:val="0014585C"/>
    <w:rsid w:val="00146EB5"/>
    <w:rsid w:val="0014799B"/>
    <w:rsid w:val="00147A2D"/>
    <w:rsid w:val="00151C37"/>
    <w:rsid w:val="00155030"/>
    <w:rsid w:val="00156CBF"/>
    <w:rsid w:val="00157D55"/>
    <w:rsid w:val="0016120A"/>
    <w:rsid w:val="0016127C"/>
    <w:rsid w:val="00161632"/>
    <w:rsid w:val="00161C81"/>
    <w:rsid w:val="00161E76"/>
    <w:rsid w:val="0016276C"/>
    <w:rsid w:val="00162FAB"/>
    <w:rsid w:val="00163101"/>
    <w:rsid w:val="0016400A"/>
    <w:rsid w:val="001645DA"/>
    <w:rsid w:val="00164D33"/>
    <w:rsid w:val="001669CF"/>
    <w:rsid w:val="00167441"/>
    <w:rsid w:val="0017078C"/>
    <w:rsid w:val="00171273"/>
    <w:rsid w:val="00174E5F"/>
    <w:rsid w:val="00176071"/>
    <w:rsid w:val="001761D0"/>
    <w:rsid w:val="001827A0"/>
    <w:rsid w:val="00184FB6"/>
    <w:rsid w:val="001867DE"/>
    <w:rsid w:val="0019005A"/>
    <w:rsid w:val="00192584"/>
    <w:rsid w:val="00196058"/>
    <w:rsid w:val="001A0990"/>
    <w:rsid w:val="001A0E52"/>
    <w:rsid w:val="001A11DC"/>
    <w:rsid w:val="001A1951"/>
    <w:rsid w:val="001A21D0"/>
    <w:rsid w:val="001A3769"/>
    <w:rsid w:val="001A47FF"/>
    <w:rsid w:val="001A6163"/>
    <w:rsid w:val="001A6AC6"/>
    <w:rsid w:val="001B0B0A"/>
    <w:rsid w:val="001B156A"/>
    <w:rsid w:val="001B2575"/>
    <w:rsid w:val="001B5D91"/>
    <w:rsid w:val="001B5FAF"/>
    <w:rsid w:val="001B76BE"/>
    <w:rsid w:val="001C2786"/>
    <w:rsid w:val="001C3654"/>
    <w:rsid w:val="001D0EA4"/>
    <w:rsid w:val="001D1038"/>
    <w:rsid w:val="001D1ECA"/>
    <w:rsid w:val="001D6520"/>
    <w:rsid w:val="001D6FE7"/>
    <w:rsid w:val="001D7DBA"/>
    <w:rsid w:val="001E4191"/>
    <w:rsid w:val="001E4B2D"/>
    <w:rsid w:val="001E55C5"/>
    <w:rsid w:val="001F0F2D"/>
    <w:rsid w:val="001F147B"/>
    <w:rsid w:val="001F253C"/>
    <w:rsid w:val="001F53E4"/>
    <w:rsid w:val="001F609A"/>
    <w:rsid w:val="001F7FDE"/>
    <w:rsid w:val="00201803"/>
    <w:rsid w:val="00201BD0"/>
    <w:rsid w:val="0020549B"/>
    <w:rsid w:val="00206B05"/>
    <w:rsid w:val="00207535"/>
    <w:rsid w:val="002100BB"/>
    <w:rsid w:val="00210AA9"/>
    <w:rsid w:val="0021165D"/>
    <w:rsid w:val="00212826"/>
    <w:rsid w:val="00213A02"/>
    <w:rsid w:val="002150DF"/>
    <w:rsid w:val="00216184"/>
    <w:rsid w:val="00216FF0"/>
    <w:rsid w:val="0021702B"/>
    <w:rsid w:val="00217502"/>
    <w:rsid w:val="00217EF0"/>
    <w:rsid w:val="00220DC1"/>
    <w:rsid w:val="00221C9A"/>
    <w:rsid w:val="00222CAB"/>
    <w:rsid w:val="00222E81"/>
    <w:rsid w:val="002236FE"/>
    <w:rsid w:val="00223906"/>
    <w:rsid w:val="00223DF9"/>
    <w:rsid w:val="00225020"/>
    <w:rsid w:val="002269D0"/>
    <w:rsid w:val="002301B4"/>
    <w:rsid w:val="002310AB"/>
    <w:rsid w:val="002322E8"/>
    <w:rsid w:val="002330E6"/>
    <w:rsid w:val="002330EE"/>
    <w:rsid w:val="00233FDF"/>
    <w:rsid w:val="0023424F"/>
    <w:rsid w:val="002358D9"/>
    <w:rsid w:val="00235A3E"/>
    <w:rsid w:val="002371FD"/>
    <w:rsid w:val="002374E7"/>
    <w:rsid w:val="002404E2"/>
    <w:rsid w:val="00241F6D"/>
    <w:rsid w:val="0024749C"/>
    <w:rsid w:val="002478DD"/>
    <w:rsid w:val="00247920"/>
    <w:rsid w:val="00250B53"/>
    <w:rsid w:val="00251940"/>
    <w:rsid w:val="0025241F"/>
    <w:rsid w:val="00253EA1"/>
    <w:rsid w:val="00254174"/>
    <w:rsid w:val="00256C98"/>
    <w:rsid w:val="0025747E"/>
    <w:rsid w:val="00261D88"/>
    <w:rsid w:val="00264DDD"/>
    <w:rsid w:val="00266A30"/>
    <w:rsid w:val="00266ED6"/>
    <w:rsid w:val="00271115"/>
    <w:rsid w:val="00273817"/>
    <w:rsid w:val="00274384"/>
    <w:rsid w:val="00275D83"/>
    <w:rsid w:val="0027600D"/>
    <w:rsid w:val="00276057"/>
    <w:rsid w:val="00281B10"/>
    <w:rsid w:val="00282A5E"/>
    <w:rsid w:val="00283EC9"/>
    <w:rsid w:val="00285A5C"/>
    <w:rsid w:val="00287446"/>
    <w:rsid w:val="00287A4F"/>
    <w:rsid w:val="00290544"/>
    <w:rsid w:val="00291245"/>
    <w:rsid w:val="0029146B"/>
    <w:rsid w:val="0029315E"/>
    <w:rsid w:val="00293164"/>
    <w:rsid w:val="00293C8C"/>
    <w:rsid w:val="002942E2"/>
    <w:rsid w:val="002952DF"/>
    <w:rsid w:val="00295868"/>
    <w:rsid w:val="00295ED6"/>
    <w:rsid w:val="002966BC"/>
    <w:rsid w:val="002979AD"/>
    <w:rsid w:val="00297AEB"/>
    <w:rsid w:val="002A54C4"/>
    <w:rsid w:val="002A606D"/>
    <w:rsid w:val="002A7B12"/>
    <w:rsid w:val="002B22C2"/>
    <w:rsid w:val="002B4BA0"/>
    <w:rsid w:val="002B64B3"/>
    <w:rsid w:val="002B70E5"/>
    <w:rsid w:val="002B7242"/>
    <w:rsid w:val="002B7531"/>
    <w:rsid w:val="002B7A8D"/>
    <w:rsid w:val="002C194B"/>
    <w:rsid w:val="002C2716"/>
    <w:rsid w:val="002C3BF0"/>
    <w:rsid w:val="002C403D"/>
    <w:rsid w:val="002C40E2"/>
    <w:rsid w:val="002C444F"/>
    <w:rsid w:val="002C4977"/>
    <w:rsid w:val="002C57B0"/>
    <w:rsid w:val="002C7BF3"/>
    <w:rsid w:val="002D2934"/>
    <w:rsid w:val="002D2BD1"/>
    <w:rsid w:val="002D4791"/>
    <w:rsid w:val="002D5116"/>
    <w:rsid w:val="002D54FD"/>
    <w:rsid w:val="002D6B1A"/>
    <w:rsid w:val="002E0607"/>
    <w:rsid w:val="002E4040"/>
    <w:rsid w:val="002E4282"/>
    <w:rsid w:val="002E4434"/>
    <w:rsid w:val="002E68EF"/>
    <w:rsid w:val="002E6DF4"/>
    <w:rsid w:val="002E702F"/>
    <w:rsid w:val="002F0819"/>
    <w:rsid w:val="002F0EFF"/>
    <w:rsid w:val="002F32CA"/>
    <w:rsid w:val="002F3593"/>
    <w:rsid w:val="002F3E59"/>
    <w:rsid w:val="002F4177"/>
    <w:rsid w:val="002F4567"/>
    <w:rsid w:val="00302645"/>
    <w:rsid w:val="0031028E"/>
    <w:rsid w:val="0031159E"/>
    <w:rsid w:val="00311FEA"/>
    <w:rsid w:val="003122AC"/>
    <w:rsid w:val="003135B2"/>
    <w:rsid w:val="00313859"/>
    <w:rsid w:val="00314366"/>
    <w:rsid w:val="00315F50"/>
    <w:rsid w:val="00317AB2"/>
    <w:rsid w:val="00320808"/>
    <w:rsid w:val="00326DDA"/>
    <w:rsid w:val="0032738A"/>
    <w:rsid w:val="00327BA7"/>
    <w:rsid w:val="0033012E"/>
    <w:rsid w:val="00331A16"/>
    <w:rsid w:val="00333837"/>
    <w:rsid w:val="003359FB"/>
    <w:rsid w:val="00336A0F"/>
    <w:rsid w:val="0034012E"/>
    <w:rsid w:val="00341075"/>
    <w:rsid w:val="003436E5"/>
    <w:rsid w:val="00347F75"/>
    <w:rsid w:val="0035213B"/>
    <w:rsid w:val="00353486"/>
    <w:rsid w:val="003544E2"/>
    <w:rsid w:val="00357DB0"/>
    <w:rsid w:val="0036121C"/>
    <w:rsid w:val="003627EC"/>
    <w:rsid w:val="00364837"/>
    <w:rsid w:val="00366EF1"/>
    <w:rsid w:val="003673F1"/>
    <w:rsid w:val="00374512"/>
    <w:rsid w:val="00374DB3"/>
    <w:rsid w:val="003776C7"/>
    <w:rsid w:val="003806DC"/>
    <w:rsid w:val="00381102"/>
    <w:rsid w:val="00381263"/>
    <w:rsid w:val="00382D86"/>
    <w:rsid w:val="00383A64"/>
    <w:rsid w:val="00384EF7"/>
    <w:rsid w:val="00384FA8"/>
    <w:rsid w:val="00386421"/>
    <w:rsid w:val="00390CEB"/>
    <w:rsid w:val="00390F35"/>
    <w:rsid w:val="00392122"/>
    <w:rsid w:val="0039338A"/>
    <w:rsid w:val="00395A0E"/>
    <w:rsid w:val="003967C3"/>
    <w:rsid w:val="003A4C60"/>
    <w:rsid w:val="003A56A5"/>
    <w:rsid w:val="003A6C25"/>
    <w:rsid w:val="003A7279"/>
    <w:rsid w:val="003A74DC"/>
    <w:rsid w:val="003B2B74"/>
    <w:rsid w:val="003B3021"/>
    <w:rsid w:val="003B376D"/>
    <w:rsid w:val="003B4BE5"/>
    <w:rsid w:val="003B5308"/>
    <w:rsid w:val="003B5DC5"/>
    <w:rsid w:val="003B7EF8"/>
    <w:rsid w:val="003C0968"/>
    <w:rsid w:val="003C4D7F"/>
    <w:rsid w:val="003C6128"/>
    <w:rsid w:val="003C6E15"/>
    <w:rsid w:val="003C7680"/>
    <w:rsid w:val="003C77DC"/>
    <w:rsid w:val="003D01AF"/>
    <w:rsid w:val="003D0D0B"/>
    <w:rsid w:val="003D1720"/>
    <w:rsid w:val="003D1C98"/>
    <w:rsid w:val="003D301D"/>
    <w:rsid w:val="003D3FE9"/>
    <w:rsid w:val="003D5A93"/>
    <w:rsid w:val="003D5F71"/>
    <w:rsid w:val="003D6082"/>
    <w:rsid w:val="003D7628"/>
    <w:rsid w:val="003E22BE"/>
    <w:rsid w:val="003E2C14"/>
    <w:rsid w:val="003E2E8F"/>
    <w:rsid w:val="003E3197"/>
    <w:rsid w:val="003E3696"/>
    <w:rsid w:val="003E3E99"/>
    <w:rsid w:val="003E4E4D"/>
    <w:rsid w:val="003E5746"/>
    <w:rsid w:val="003E64B2"/>
    <w:rsid w:val="003E6D5C"/>
    <w:rsid w:val="003E7812"/>
    <w:rsid w:val="003F0A28"/>
    <w:rsid w:val="003F1290"/>
    <w:rsid w:val="003F1B15"/>
    <w:rsid w:val="003F1EF0"/>
    <w:rsid w:val="003F298D"/>
    <w:rsid w:val="003F2FD7"/>
    <w:rsid w:val="003F3805"/>
    <w:rsid w:val="003F6F84"/>
    <w:rsid w:val="004000DC"/>
    <w:rsid w:val="004028D4"/>
    <w:rsid w:val="00402B67"/>
    <w:rsid w:val="00405991"/>
    <w:rsid w:val="004074D1"/>
    <w:rsid w:val="0040775C"/>
    <w:rsid w:val="00407BAF"/>
    <w:rsid w:val="004112C1"/>
    <w:rsid w:val="00411E43"/>
    <w:rsid w:val="00413494"/>
    <w:rsid w:val="00414026"/>
    <w:rsid w:val="00414627"/>
    <w:rsid w:val="00414B81"/>
    <w:rsid w:val="00414C4B"/>
    <w:rsid w:val="00416DD9"/>
    <w:rsid w:val="00421F04"/>
    <w:rsid w:val="00426F3B"/>
    <w:rsid w:val="00427057"/>
    <w:rsid w:val="00427945"/>
    <w:rsid w:val="00430E51"/>
    <w:rsid w:val="004319D0"/>
    <w:rsid w:val="00432A79"/>
    <w:rsid w:val="00433315"/>
    <w:rsid w:val="004333F6"/>
    <w:rsid w:val="00437083"/>
    <w:rsid w:val="004379E0"/>
    <w:rsid w:val="00440008"/>
    <w:rsid w:val="00440296"/>
    <w:rsid w:val="004416BA"/>
    <w:rsid w:val="004417AC"/>
    <w:rsid w:val="004419AA"/>
    <w:rsid w:val="00443EA5"/>
    <w:rsid w:val="00446029"/>
    <w:rsid w:val="004477FB"/>
    <w:rsid w:val="00450B9F"/>
    <w:rsid w:val="00451276"/>
    <w:rsid w:val="004546DF"/>
    <w:rsid w:val="00454E9C"/>
    <w:rsid w:val="00455C42"/>
    <w:rsid w:val="00457128"/>
    <w:rsid w:val="0045715B"/>
    <w:rsid w:val="004607A9"/>
    <w:rsid w:val="004613C7"/>
    <w:rsid w:val="00464674"/>
    <w:rsid w:val="00465867"/>
    <w:rsid w:val="004660DF"/>
    <w:rsid w:val="0046631F"/>
    <w:rsid w:val="0047083F"/>
    <w:rsid w:val="00470F20"/>
    <w:rsid w:val="004729DB"/>
    <w:rsid w:val="00473F5F"/>
    <w:rsid w:val="00474523"/>
    <w:rsid w:val="004748BF"/>
    <w:rsid w:val="0048064B"/>
    <w:rsid w:val="00482086"/>
    <w:rsid w:val="00482566"/>
    <w:rsid w:val="004833A5"/>
    <w:rsid w:val="00483906"/>
    <w:rsid w:val="004845CA"/>
    <w:rsid w:val="0048479F"/>
    <w:rsid w:val="004873F9"/>
    <w:rsid w:val="0048766F"/>
    <w:rsid w:val="00490A8B"/>
    <w:rsid w:val="00491404"/>
    <w:rsid w:val="004918F6"/>
    <w:rsid w:val="00491F5F"/>
    <w:rsid w:val="0049201E"/>
    <w:rsid w:val="00492DC5"/>
    <w:rsid w:val="00492FCE"/>
    <w:rsid w:val="00494D6A"/>
    <w:rsid w:val="00494D88"/>
    <w:rsid w:val="004950E3"/>
    <w:rsid w:val="00496BE4"/>
    <w:rsid w:val="004A0484"/>
    <w:rsid w:val="004A06A3"/>
    <w:rsid w:val="004A08C8"/>
    <w:rsid w:val="004A0949"/>
    <w:rsid w:val="004A0C8C"/>
    <w:rsid w:val="004A0CAE"/>
    <w:rsid w:val="004A0F24"/>
    <w:rsid w:val="004A116E"/>
    <w:rsid w:val="004A14CC"/>
    <w:rsid w:val="004A48DF"/>
    <w:rsid w:val="004A4E48"/>
    <w:rsid w:val="004A647E"/>
    <w:rsid w:val="004A6A2D"/>
    <w:rsid w:val="004A7AE4"/>
    <w:rsid w:val="004B02F7"/>
    <w:rsid w:val="004B2760"/>
    <w:rsid w:val="004B32CE"/>
    <w:rsid w:val="004B40A9"/>
    <w:rsid w:val="004B4295"/>
    <w:rsid w:val="004B4DFA"/>
    <w:rsid w:val="004B56BF"/>
    <w:rsid w:val="004B7133"/>
    <w:rsid w:val="004C024E"/>
    <w:rsid w:val="004C1CF9"/>
    <w:rsid w:val="004C4694"/>
    <w:rsid w:val="004C6908"/>
    <w:rsid w:val="004C7499"/>
    <w:rsid w:val="004D203A"/>
    <w:rsid w:val="004D2762"/>
    <w:rsid w:val="004D2E44"/>
    <w:rsid w:val="004D3961"/>
    <w:rsid w:val="004D5975"/>
    <w:rsid w:val="004D612D"/>
    <w:rsid w:val="004D74D3"/>
    <w:rsid w:val="004D75A4"/>
    <w:rsid w:val="004E2940"/>
    <w:rsid w:val="004E2F46"/>
    <w:rsid w:val="004E3E80"/>
    <w:rsid w:val="004E4FAD"/>
    <w:rsid w:val="004E6AA1"/>
    <w:rsid w:val="004E75A8"/>
    <w:rsid w:val="004F28F3"/>
    <w:rsid w:val="004F2EA5"/>
    <w:rsid w:val="004F424A"/>
    <w:rsid w:val="004F7A90"/>
    <w:rsid w:val="00500E91"/>
    <w:rsid w:val="00501EA9"/>
    <w:rsid w:val="00501EAD"/>
    <w:rsid w:val="005030BA"/>
    <w:rsid w:val="00504BD0"/>
    <w:rsid w:val="005063C6"/>
    <w:rsid w:val="005073DC"/>
    <w:rsid w:val="0051281D"/>
    <w:rsid w:val="0051422A"/>
    <w:rsid w:val="00516743"/>
    <w:rsid w:val="005200FC"/>
    <w:rsid w:val="00521D59"/>
    <w:rsid w:val="00522009"/>
    <w:rsid w:val="0052320B"/>
    <w:rsid w:val="00524933"/>
    <w:rsid w:val="0052556B"/>
    <w:rsid w:val="005275B2"/>
    <w:rsid w:val="00532415"/>
    <w:rsid w:val="00532787"/>
    <w:rsid w:val="00534F62"/>
    <w:rsid w:val="00535C2E"/>
    <w:rsid w:val="00536A1A"/>
    <w:rsid w:val="00536F4C"/>
    <w:rsid w:val="0054079A"/>
    <w:rsid w:val="005437F7"/>
    <w:rsid w:val="005472D4"/>
    <w:rsid w:val="0054758C"/>
    <w:rsid w:val="00550A83"/>
    <w:rsid w:val="00552737"/>
    <w:rsid w:val="005535BF"/>
    <w:rsid w:val="00553C19"/>
    <w:rsid w:val="00554A1D"/>
    <w:rsid w:val="00554B60"/>
    <w:rsid w:val="00557AC0"/>
    <w:rsid w:val="00557B52"/>
    <w:rsid w:val="0056152A"/>
    <w:rsid w:val="00561979"/>
    <w:rsid w:val="00561B67"/>
    <w:rsid w:val="00562902"/>
    <w:rsid w:val="00563394"/>
    <w:rsid w:val="0056769B"/>
    <w:rsid w:val="0057040F"/>
    <w:rsid w:val="0057078F"/>
    <w:rsid w:val="00570EAC"/>
    <w:rsid w:val="00570FA5"/>
    <w:rsid w:val="005731FF"/>
    <w:rsid w:val="00573614"/>
    <w:rsid w:val="0057468F"/>
    <w:rsid w:val="0057505C"/>
    <w:rsid w:val="00577C94"/>
    <w:rsid w:val="00581268"/>
    <w:rsid w:val="005823D7"/>
    <w:rsid w:val="00582776"/>
    <w:rsid w:val="00582C24"/>
    <w:rsid w:val="00584AFD"/>
    <w:rsid w:val="00590950"/>
    <w:rsid w:val="00590DE2"/>
    <w:rsid w:val="00592B47"/>
    <w:rsid w:val="00593B98"/>
    <w:rsid w:val="00593F5B"/>
    <w:rsid w:val="00595834"/>
    <w:rsid w:val="0059641C"/>
    <w:rsid w:val="005A0108"/>
    <w:rsid w:val="005A06E8"/>
    <w:rsid w:val="005A1998"/>
    <w:rsid w:val="005A28C6"/>
    <w:rsid w:val="005A2EC3"/>
    <w:rsid w:val="005A3B99"/>
    <w:rsid w:val="005A3BD1"/>
    <w:rsid w:val="005A3F7F"/>
    <w:rsid w:val="005A4DB7"/>
    <w:rsid w:val="005A779D"/>
    <w:rsid w:val="005B0718"/>
    <w:rsid w:val="005B1778"/>
    <w:rsid w:val="005B17CF"/>
    <w:rsid w:val="005B2E3B"/>
    <w:rsid w:val="005B5CA7"/>
    <w:rsid w:val="005B5E3F"/>
    <w:rsid w:val="005C0538"/>
    <w:rsid w:val="005C15C7"/>
    <w:rsid w:val="005C1802"/>
    <w:rsid w:val="005C57D6"/>
    <w:rsid w:val="005C72E7"/>
    <w:rsid w:val="005C73ED"/>
    <w:rsid w:val="005C78B6"/>
    <w:rsid w:val="005D6184"/>
    <w:rsid w:val="005D6E1D"/>
    <w:rsid w:val="005E094A"/>
    <w:rsid w:val="005E0B75"/>
    <w:rsid w:val="005E2EA6"/>
    <w:rsid w:val="005E37C3"/>
    <w:rsid w:val="005E6CBB"/>
    <w:rsid w:val="005E77FE"/>
    <w:rsid w:val="005E784D"/>
    <w:rsid w:val="005F0049"/>
    <w:rsid w:val="005F0DD8"/>
    <w:rsid w:val="00601518"/>
    <w:rsid w:val="00603AD8"/>
    <w:rsid w:val="00604EE8"/>
    <w:rsid w:val="00605D2E"/>
    <w:rsid w:val="00606112"/>
    <w:rsid w:val="006069B4"/>
    <w:rsid w:val="0061003A"/>
    <w:rsid w:val="00615D9B"/>
    <w:rsid w:val="006169B1"/>
    <w:rsid w:val="006213AE"/>
    <w:rsid w:val="00621CEC"/>
    <w:rsid w:val="00622F90"/>
    <w:rsid w:val="00623F24"/>
    <w:rsid w:val="00626BDC"/>
    <w:rsid w:val="00630600"/>
    <w:rsid w:val="00630D09"/>
    <w:rsid w:val="00633026"/>
    <w:rsid w:val="00633EA5"/>
    <w:rsid w:val="006363B3"/>
    <w:rsid w:val="006401AE"/>
    <w:rsid w:val="006433ED"/>
    <w:rsid w:val="00643D3D"/>
    <w:rsid w:val="006443E1"/>
    <w:rsid w:val="0064564B"/>
    <w:rsid w:val="006508E5"/>
    <w:rsid w:val="00650BF9"/>
    <w:rsid w:val="006513E0"/>
    <w:rsid w:val="006517A3"/>
    <w:rsid w:val="006552AB"/>
    <w:rsid w:val="00655436"/>
    <w:rsid w:val="00660B57"/>
    <w:rsid w:val="006611F6"/>
    <w:rsid w:val="00662459"/>
    <w:rsid w:val="00663CFE"/>
    <w:rsid w:val="0066481C"/>
    <w:rsid w:val="00665ECF"/>
    <w:rsid w:val="00666D26"/>
    <w:rsid w:val="006677C5"/>
    <w:rsid w:val="006742CB"/>
    <w:rsid w:val="00680544"/>
    <w:rsid w:val="00682734"/>
    <w:rsid w:val="00682F1A"/>
    <w:rsid w:val="0068386B"/>
    <w:rsid w:val="00684A5C"/>
    <w:rsid w:val="00685FD8"/>
    <w:rsid w:val="00691BAC"/>
    <w:rsid w:val="00692B5A"/>
    <w:rsid w:val="0069337A"/>
    <w:rsid w:val="00693ED3"/>
    <w:rsid w:val="0069471B"/>
    <w:rsid w:val="006957CF"/>
    <w:rsid w:val="0069607D"/>
    <w:rsid w:val="0069692F"/>
    <w:rsid w:val="006969C5"/>
    <w:rsid w:val="00697C76"/>
    <w:rsid w:val="006A112D"/>
    <w:rsid w:val="006A3672"/>
    <w:rsid w:val="006A42C5"/>
    <w:rsid w:val="006A5AF9"/>
    <w:rsid w:val="006B0DF2"/>
    <w:rsid w:val="006B36ED"/>
    <w:rsid w:val="006B53B1"/>
    <w:rsid w:val="006B5DDF"/>
    <w:rsid w:val="006C0810"/>
    <w:rsid w:val="006C1CD2"/>
    <w:rsid w:val="006C36A8"/>
    <w:rsid w:val="006C5AC4"/>
    <w:rsid w:val="006C5E4C"/>
    <w:rsid w:val="006C7A9A"/>
    <w:rsid w:val="006D08E5"/>
    <w:rsid w:val="006D1020"/>
    <w:rsid w:val="006D12A8"/>
    <w:rsid w:val="006D2AFA"/>
    <w:rsid w:val="006D353E"/>
    <w:rsid w:val="006D4E61"/>
    <w:rsid w:val="006D63E2"/>
    <w:rsid w:val="006D6E16"/>
    <w:rsid w:val="006D7EAC"/>
    <w:rsid w:val="006E3F02"/>
    <w:rsid w:val="006E625E"/>
    <w:rsid w:val="006E6AB7"/>
    <w:rsid w:val="006F128F"/>
    <w:rsid w:val="006F1413"/>
    <w:rsid w:val="006F2C24"/>
    <w:rsid w:val="006F2E40"/>
    <w:rsid w:val="006F35C3"/>
    <w:rsid w:val="006F535E"/>
    <w:rsid w:val="006F62EE"/>
    <w:rsid w:val="006F6CC4"/>
    <w:rsid w:val="00702B38"/>
    <w:rsid w:val="00702D5D"/>
    <w:rsid w:val="00703717"/>
    <w:rsid w:val="00703EC2"/>
    <w:rsid w:val="007049E9"/>
    <w:rsid w:val="00704DFB"/>
    <w:rsid w:val="00705F6E"/>
    <w:rsid w:val="00706D0D"/>
    <w:rsid w:val="00706D1B"/>
    <w:rsid w:val="0070786A"/>
    <w:rsid w:val="00712085"/>
    <w:rsid w:val="007135DF"/>
    <w:rsid w:val="00713F38"/>
    <w:rsid w:val="007142BD"/>
    <w:rsid w:val="0071631F"/>
    <w:rsid w:val="00721F31"/>
    <w:rsid w:val="00722514"/>
    <w:rsid w:val="00722DAC"/>
    <w:rsid w:val="00725728"/>
    <w:rsid w:val="00725976"/>
    <w:rsid w:val="00726629"/>
    <w:rsid w:val="00727716"/>
    <w:rsid w:val="00732301"/>
    <w:rsid w:val="007353D1"/>
    <w:rsid w:val="007356A8"/>
    <w:rsid w:val="00737F76"/>
    <w:rsid w:val="0074054E"/>
    <w:rsid w:val="00740957"/>
    <w:rsid w:val="007422AE"/>
    <w:rsid w:val="0074268C"/>
    <w:rsid w:val="0074421B"/>
    <w:rsid w:val="0074575B"/>
    <w:rsid w:val="00746AB4"/>
    <w:rsid w:val="00746B08"/>
    <w:rsid w:val="00747D46"/>
    <w:rsid w:val="00751613"/>
    <w:rsid w:val="00753FCC"/>
    <w:rsid w:val="007549C9"/>
    <w:rsid w:val="00755EE0"/>
    <w:rsid w:val="00762505"/>
    <w:rsid w:val="00762F36"/>
    <w:rsid w:val="00764776"/>
    <w:rsid w:val="0077022A"/>
    <w:rsid w:val="00771084"/>
    <w:rsid w:val="00771376"/>
    <w:rsid w:val="0077223E"/>
    <w:rsid w:val="00775A1F"/>
    <w:rsid w:val="007833AE"/>
    <w:rsid w:val="0079182B"/>
    <w:rsid w:val="00791C84"/>
    <w:rsid w:val="00791DFB"/>
    <w:rsid w:val="00792F2D"/>
    <w:rsid w:val="0079321B"/>
    <w:rsid w:val="00793AD1"/>
    <w:rsid w:val="00794696"/>
    <w:rsid w:val="00794A99"/>
    <w:rsid w:val="007953F6"/>
    <w:rsid w:val="007A04DF"/>
    <w:rsid w:val="007A087E"/>
    <w:rsid w:val="007A0EC9"/>
    <w:rsid w:val="007A2121"/>
    <w:rsid w:val="007A35F2"/>
    <w:rsid w:val="007A460A"/>
    <w:rsid w:val="007A4F92"/>
    <w:rsid w:val="007A561D"/>
    <w:rsid w:val="007A6398"/>
    <w:rsid w:val="007A63B6"/>
    <w:rsid w:val="007A7E7B"/>
    <w:rsid w:val="007B0D90"/>
    <w:rsid w:val="007B23CD"/>
    <w:rsid w:val="007B245A"/>
    <w:rsid w:val="007B52B2"/>
    <w:rsid w:val="007B55D4"/>
    <w:rsid w:val="007B6E9B"/>
    <w:rsid w:val="007B7DE5"/>
    <w:rsid w:val="007C0E15"/>
    <w:rsid w:val="007C15E2"/>
    <w:rsid w:val="007C22CF"/>
    <w:rsid w:val="007C66AA"/>
    <w:rsid w:val="007C75E2"/>
    <w:rsid w:val="007C7D94"/>
    <w:rsid w:val="007D1CC2"/>
    <w:rsid w:val="007D4037"/>
    <w:rsid w:val="007D4147"/>
    <w:rsid w:val="007E09B0"/>
    <w:rsid w:val="007E0B0E"/>
    <w:rsid w:val="007E0D19"/>
    <w:rsid w:val="007E2EF2"/>
    <w:rsid w:val="007E3C6A"/>
    <w:rsid w:val="007E5A3B"/>
    <w:rsid w:val="007E63D0"/>
    <w:rsid w:val="007E78B3"/>
    <w:rsid w:val="007E7ACD"/>
    <w:rsid w:val="007F1C3F"/>
    <w:rsid w:val="007F4183"/>
    <w:rsid w:val="007F4C6B"/>
    <w:rsid w:val="007F4DBD"/>
    <w:rsid w:val="00800748"/>
    <w:rsid w:val="0080105C"/>
    <w:rsid w:val="00801F12"/>
    <w:rsid w:val="00803998"/>
    <w:rsid w:val="00804813"/>
    <w:rsid w:val="008048C8"/>
    <w:rsid w:val="00805921"/>
    <w:rsid w:val="008071E7"/>
    <w:rsid w:val="0080747D"/>
    <w:rsid w:val="008106E9"/>
    <w:rsid w:val="00810DAF"/>
    <w:rsid w:val="00810E74"/>
    <w:rsid w:val="0081115F"/>
    <w:rsid w:val="00813FD3"/>
    <w:rsid w:val="00815075"/>
    <w:rsid w:val="00815447"/>
    <w:rsid w:val="00816453"/>
    <w:rsid w:val="00816EB2"/>
    <w:rsid w:val="00817DEF"/>
    <w:rsid w:val="008241EC"/>
    <w:rsid w:val="00827594"/>
    <w:rsid w:val="008308CC"/>
    <w:rsid w:val="00831D6D"/>
    <w:rsid w:val="00832BCC"/>
    <w:rsid w:val="00833EFB"/>
    <w:rsid w:val="00834ABC"/>
    <w:rsid w:val="00834E73"/>
    <w:rsid w:val="00835270"/>
    <w:rsid w:val="00835C30"/>
    <w:rsid w:val="00842DE0"/>
    <w:rsid w:val="0084373A"/>
    <w:rsid w:val="0084717F"/>
    <w:rsid w:val="00847518"/>
    <w:rsid w:val="00847580"/>
    <w:rsid w:val="00851FC0"/>
    <w:rsid w:val="00853846"/>
    <w:rsid w:val="00853B61"/>
    <w:rsid w:val="00855122"/>
    <w:rsid w:val="008559D3"/>
    <w:rsid w:val="00856541"/>
    <w:rsid w:val="008615F3"/>
    <w:rsid w:val="008652F9"/>
    <w:rsid w:val="00865E70"/>
    <w:rsid w:val="0086667B"/>
    <w:rsid w:val="00866D3F"/>
    <w:rsid w:val="00867A3C"/>
    <w:rsid w:val="00867A4E"/>
    <w:rsid w:val="00870682"/>
    <w:rsid w:val="00870C61"/>
    <w:rsid w:val="00872D1E"/>
    <w:rsid w:val="00873080"/>
    <w:rsid w:val="0087348A"/>
    <w:rsid w:val="00873620"/>
    <w:rsid w:val="008737A1"/>
    <w:rsid w:val="00875576"/>
    <w:rsid w:val="0087637B"/>
    <w:rsid w:val="008775DC"/>
    <w:rsid w:val="00882EF5"/>
    <w:rsid w:val="00884751"/>
    <w:rsid w:val="00885EFC"/>
    <w:rsid w:val="008871F7"/>
    <w:rsid w:val="0089033B"/>
    <w:rsid w:val="008922ED"/>
    <w:rsid w:val="00893BD9"/>
    <w:rsid w:val="00896F00"/>
    <w:rsid w:val="00897040"/>
    <w:rsid w:val="00897C4E"/>
    <w:rsid w:val="008A064E"/>
    <w:rsid w:val="008A46A1"/>
    <w:rsid w:val="008A506A"/>
    <w:rsid w:val="008A563C"/>
    <w:rsid w:val="008A625A"/>
    <w:rsid w:val="008A700E"/>
    <w:rsid w:val="008A75D2"/>
    <w:rsid w:val="008B0155"/>
    <w:rsid w:val="008B031D"/>
    <w:rsid w:val="008B31C3"/>
    <w:rsid w:val="008B3D3F"/>
    <w:rsid w:val="008B5C80"/>
    <w:rsid w:val="008B653F"/>
    <w:rsid w:val="008C065F"/>
    <w:rsid w:val="008C687B"/>
    <w:rsid w:val="008D07CC"/>
    <w:rsid w:val="008D17BE"/>
    <w:rsid w:val="008D79F1"/>
    <w:rsid w:val="008E0F58"/>
    <w:rsid w:val="008E105E"/>
    <w:rsid w:val="008E251E"/>
    <w:rsid w:val="008E3509"/>
    <w:rsid w:val="008E41AF"/>
    <w:rsid w:val="008E5BD5"/>
    <w:rsid w:val="008E7DA1"/>
    <w:rsid w:val="008F0555"/>
    <w:rsid w:val="008F4750"/>
    <w:rsid w:val="008F62F0"/>
    <w:rsid w:val="008F69B4"/>
    <w:rsid w:val="00900A46"/>
    <w:rsid w:val="009035EC"/>
    <w:rsid w:val="00904F22"/>
    <w:rsid w:val="00906E48"/>
    <w:rsid w:val="00910E5B"/>
    <w:rsid w:val="009122DE"/>
    <w:rsid w:val="0091285E"/>
    <w:rsid w:val="00913F9A"/>
    <w:rsid w:val="009147E7"/>
    <w:rsid w:val="00915CD1"/>
    <w:rsid w:val="00916212"/>
    <w:rsid w:val="00921926"/>
    <w:rsid w:val="00922584"/>
    <w:rsid w:val="00923459"/>
    <w:rsid w:val="009258BC"/>
    <w:rsid w:val="0093103E"/>
    <w:rsid w:val="0093561D"/>
    <w:rsid w:val="00935621"/>
    <w:rsid w:val="009364DE"/>
    <w:rsid w:val="009373B5"/>
    <w:rsid w:val="009400B2"/>
    <w:rsid w:val="00943F7E"/>
    <w:rsid w:val="00945FF1"/>
    <w:rsid w:val="00951552"/>
    <w:rsid w:val="00951F3E"/>
    <w:rsid w:val="00955327"/>
    <w:rsid w:val="00956854"/>
    <w:rsid w:val="009614FF"/>
    <w:rsid w:val="00961D0E"/>
    <w:rsid w:val="00963B03"/>
    <w:rsid w:val="0096431C"/>
    <w:rsid w:val="0096531A"/>
    <w:rsid w:val="00970639"/>
    <w:rsid w:val="009738A0"/>
    <w:rsid w:val="00974E7E"/>
    <w:rsid w:val="009750F3"/>
    <w:rsid w:val="009819EF"/>
    <w:rsid w:val="009821C4"/>
    <w:rsid w:val="009826D1"/>
    <w:rsid w:val="00982939"/>
    <w:rsid w:val="00982AE7"/>
    <w:rsid w:val="009849F1"/>
    <w:rsid w:val="00984EF1"/>
    <w:rsid w:val="009868F9"/>
    <w:rsid w:val="00987A20"/>
    <w:rsid w:val="009906B1"/>
    <w:rsid w:val="00991A20"/>
    <w:rsid w:val="00992291"/>
    <w:rsid w:val="00992881"/>
    <w:rsid w:val="0099621C"/>
    <w:rsid w:val="009969DF"/>
    <w:rsid w:val="00997E59"/>
    <w:rsid w:val="009A1907"/>
    <w:rsid w:val="009A7CA1"/>
    <w:rsid w:val="009B1F96"/>
    <w:rsid w:val="009B38F5"/>
    <w:rsid w:val="009B5DC4"/>
    <w:rsid w:val="009B6837"/>
    <w:rsid w:val="009C20FD"/>
    <w:rsid w:val="009C2A40"/>
    <w:rsid w:val="009C2DC8"/>
    <w:rsid w:val="009C4B51"/>
    <w:rsid w:val="009C519E"/>
    <w:rsid w:val="009C70BD"/>
    <w:rsid w:val="009C70EE"/>
    <w:rsid w:val="009D07F3"/>
    <w:rsid w:val="009D13B6"/>
    <w:rsid w:val="009D2B57"/>
    <w:rsid w:val="009D3203"/>
    <w:rsid w:val="009D329A"/>
    <w:rsid w:val="009D42D5"/>
    <w:rsid w:val="009D439F"/>
    <w:rsid w:val="009D4741"/>
    <w:rsid w:val="009D6624"/>
    <w:rsid w:val="009D6AA7"/>
    <w:rsid w:val="009D7EF7"/>
    <w:rsid w:val="009E0022"/>
    <w:rsid w:val="009E1C33"/>
    <w:rsid w:val="009E4949"/>
    <w:rsid w:val="009E4C46"/>
    <w:rsid w:val="009E6978"/>
    <w:rsid w:val="009E7BB4"/>
    <w:rsid w:val="009F14F1"/>
    <w:rsid w:val="009F1C51"/>
    <w:rsid w:val="009F23EE"/>
    <w:rsid w:val="009F28F0"/>
    <w:rsid w:val="009F29E0"/>
    <w:rsid w:val="009F45AC"/>
    <w:rsid w:val="009F512C"/>
    <w:rsid w:val="009F5E26"/>
    <w:rsid w:val="009F67ED"/>
    <w:rsid w:val="009F681C"/>
    <w:rsid w:val="00A01AE6"/>
    <w:rsid w:val="00A02B70"/>
    <w:rsid w:val="00A03FFF"/>
    <w:rsid w:val="00A06DE3"/>
    <w:rsid w:val="00A1234A"/>
    <w:rsid w:val="00A12B07"/>
    <w:rsid w:val="00A13AB2"/>
    <w:rsid w:val="00A13B61"/>
    <w:rsid w:val="00A14231"/>
    <w:rsid w:val="00A148F5"/>
    <w:rsid w:val="00A149F2"/>
    <w:rsid w:val="00A1567C"/>
    <w:rsid w:val="00A156E5"/>
    <w:rsid w:val="00A25E72"/>
    <w:rsid w:val="00A25EB4"/>
    <w:rsid w:val="00A263E7"/>
    <w:rsid w:val="00A266A4"/>
    <w:rsid w:val="00A27152"/>
    <w:rsid w:val="00A30BC4"/>
    <w:rsid w:val="00A338BB"/>
    <w:rsid w:val="00A33BB1"/>
    <w:rsid w:val="00A40E20"/>
    <w:rsid w:val="00A431D2"/>
    <w:rsid w:val="00A4454B"/>
    <w:rsid w:val="00A46457"/>
    <w:rsid w:val="00A46C35"/>
    <w:rsid w:val="00A50295"/>
    <w:rsid w:val="00A51BA6"/>
    <w:rsid w:val="00A52B40"/>
    <w:rsid w:val="00A5494A"/>
    <w:rsid w:val="00A56EBC"/>
    <w:rsid w:val="00A57FD2"/>
    <w:rsid w:val="00A62D98"/>
    <w:rsid w:val="00A633EA"/>
    <w:rsid w:val="00A63973"/>
    <w:rsid w:val="00A676CE"/>
    <w:rsid w:val="00A70BC2"/>
    <w:rsid w:val="00A720E5"/>
    <w:rsid w:val="00A72972"/>
    <w:rsid w:val="00A73D31"/>
    <w:rsid w:val="00A75BE8"/>
    <w:rsid w:val="00A75E42"/>
    <w:rsid w:val="00A75EDD"/>
    <w:rsid w:val="00A77529"/>
    <w:rsid w:val="00A77A3E"/>
    <w:rsid w:val="00A77A52"/>
    <w:rsid w:val="00A77BCC"/>
    <w:rsid w:val="00A8025F"/>
    <w:rsid w:val="00A81E5F"/>
    <w:rsid w:val="00A82D5A"/>
    <w:rsid w:val="00A90034"/>
    <w:rsid w:val="00A9022C"/>
    <w:rsid w:val="00A916B3"/>
    <w:rsid w:val="00A9314D"/>
    <w:rsid w:val="00A95AF0"/>
    <w:rsid w:val="00A96AF6"/>
    <w:rsid w:val="00A972B9"/>
    <w:rsid w:val="00AA01E4"/>
    <w:rsid w:val="00AA48D7"/>
    <w:rsid w:val="00AA5BD1"/>
    <w:rsid w:val="00AA7BF9"/>
    <w:rsid w:val="00AB0728"/>
    <w:rsid w:val="00AB0747"/>
    <w:rsid w:val="00AB0BE3"/>
    <w:rsid w:val="00AB1F49"/>
    <w:rsid w:val="00AB21BB"/>
    <w:rsid w:val="00AB2268"/>
    <w:rsid w:val="00AB621B"/>
    <w:rsid w:val="00AB6377"/>
    <w:rsid w:val="00AB686F"/>
    <w:rsid w:val="00AB7349"/>
    <w:rsid w:val="00AB75C0"/>
    <w:rsid w:val="00AB7BD1"/>
    <w:rsid w:val="00AC306F"/>
    <w:rsid w:val="00AC37BE"/>
    <w:rsid w:val="00AC388B"/>
    <w:rsid w:val="00AC3B6D"/>
    <w:rsid w:val="00AC4233"/>
    <w:rsid w:val="00AC4C99"/>
    <w:rsid w:val="00AC4D35"/>
    <w:rsid w:val="00AC7881"/>
    <w:rsid w:val="00AC7D62"/>
    <w:rsid w:val="00AC7E73"/>
    <w:rsid w:val="00AC7F3C"/>
    <w:rsid w:val="00AD0D3A"/>
    <w:rsid w:val="00AD19A3"/>
    <w:rsid w:val="00AD1D1F"/>
    <w:rsid w:val="00AD4EDC"/>
    <w:rsid w:val="00AD5DB7"/>
    <w:rsid w:val="00AD6573"/>
    <w:rsid w:val="00AD74E0"/>
    <w:rsid w:val="00AD7954"/>
    <w:rsid w:val="00AD7D30"/>
    <w:rsid w:val="00AE1206"/>
    <w:rsid w:val="00AE16C7"/>
    <w:rsid w:val="00AE2AD5"/>
    <w:rsid w:val="00AE3329"/>
    <w:rsid w:val="00AE3577"/>
    <w:rsid w:val="00AE604B"/>
    <w:rsid w:val="00AF0772"/>
    <w:rsid w:val="00AF46B1"/>
    <w:rsid w:val="00AF5A4D"/>
    <w:rsid w:val="00AF67D3"/>
    <w:rsid w:val="00B00BB2"/>
    <w:rsid w:val="00B00D2F"/>
    <w:rsid w:val="00B00E35"/>
    <w:rsid w:val="00B01750"/>
    <w:rsid w:val="00B01F9C"/>
    <w:rsid w:val="00B02699"/>
    <w:rsid w:val="00B04752"/>
    <w:rsid w:val="00B12749"/>
    <w:rsid w:val="00B12B20"/>
    <w:rsid w:val="00B12B2C"/>
    <w:rsid w:val="00B1384B"/>
    <w:rsid w:val="00B258E4"/>
    <w:rsid w:val="00B27047"/>
    <w:rsid w:val="00B31A04"/>
    <w:rsid w:val="00B3348E"/>
    <w:rsid w:val="00B35786"/>
    <w:rsid w:val="00B35C14"/>
    <w:rsid w:val="00B366EC"/>
    <w:rsid w:val="00B372DD"/>
    <w:rsid w:val="00B40B33"/>
    <w:rsid w:val="00B40D69"/>
    <w:rsid w:val="00B4143C"/>
    <w:rsid w:val="00B41BDC"/>
    <w:rsid w:val="00B423DA"/>
    <w:rsid w:val="00B43104"/>
    <w:rsid w:val="00B444F3"/>
    <w:rsid w:val="00B45765"/>
    <w:rsid w:val="00B457C3"/>
    <w:rsid w:val="00B45BA9"/>
    <w:rsid w:val="00B45BE1"/>
    <w:rsid w:val="00B46B41"/>
    <w:rsid w:val="00B50B08"/>
    <w:rsid w:val="00B5238F"/>
    <w:rsid w:val="00B536CD"/>
    <w:rsid w:val="00B55EAA"/>
    <w:rsid w:val="00B55EBE"/>
    <w:rsid w:val="00B56D0B"/>
    <w:rsid w:val="00B57634"/>
    <w:rsid w:val="00B57DCD"/>
    <w:rsid w:val="00B62A0F"/>
    <w:rsid w:val="00B62A46"/>
    <w:rsid w:val="00B6521C"/>
    <w:rsid w:val="00B671F1"/>
    <w:rsid w:val="00B72800"/>
    <w:rsid w:val="00B77B71"/>
    <w:rsid w:val="00B80D11"/>
    <w:rsid w:val="00B86446"/>
    <w:rsid w:val="00B879A7"/>
    <w:rsid w:val="00B913D4"/>
    <w:rsid w:val="00B91DF6"/>
    <w:rsid w:val="00B9204E"/>
    <w:rsid w:val="00B92095"/>
    <w:rsid w:val="00B942E0"/>
    <w:rsid w:val="00B95982"/>
    <w:rsid w:val="00BA0737"/>
    <w:rsid w:val="00BA0C70"/>
    <w:rsid w:val="00BA0E8E"/>
    <w:rsid w:val="00BA33DA"/>
    <w:rsid w:val="00BA3C68"/>
    <w:rsid w:val="00BA5ABE"/>
    <w:rsid w:val="00BA7983"/>
    <w:rsid w:val="00BB00C8"/>
    <w:rsid w:val="00BB056A"/>
    <w:rsid w:val="00BB1F0A"/>
    <w:rsid w:val="00BB47B1"/>
    <w:rsid w:val="00BC3CBF"/>
    <w:rsid w:val="00BC3CC4"/>
    <w:rsid w:val="00BC4771"/>
    <w:rsid w:val="00BC7491"/>
    <w:rsid w:val="00BC7D6B"/>
    <w:rsid w:val="00BC7F68"/>
    <w:rsid w:val="00BD0C21"/>
    <w:rsid w:val="00BD0DEC"/>
    <w:rsid w:val="00BD1D7D"/>
    <w:rsid w:val="00BD24EC"/>
    <w:rsid w:val="00BD39F6"/>
    <w:rsid w:val="00BD4742"/>
    <w:rsid w:val="00BD4F1D"/>
    <w:rsid w:val="00BD6D50"/>
    <w:rsid w:val="00BD7BE2"/>
    <w:rsid w:val="00BE1508"/>
    <w:rsid w:val="00BE24AB"/>
    <w:rsid w:val="00BE3E74"/>
    <w:rsid w:val="00BE4ED2"/>
    <w:rsid w:val="00BE52CF"/>
    <w:rsid w:val="00BE5B41"/>
    <w:rsid w:val="00BE6786"/>
    <w:rsid w:val="00BE786D"/>
    <w:rsid w:val="00BE7D92"/>
    <w:rsid w:val="00BF04F5"/>
    <w:rsid w:val="00BF1527"/>
    <w:rsid w:val="00BF3EBF"/>
    <w:rsid w:val="00BF4405"/>
    <w:rsid w:val="00BF4493"/>
    <w:rsid w:val="00BF4D05"/>
    <w:rsid w:val="00BF745B"/>
    <w:rsid w:val="00C03C63"/>
    <w:rsid w:val="00C05295"/>
    <w:rsid w:val="00C05329"/>
    <w:rsid w:val="00C055B5"/>
    <w:rsid w:val="00C06A05"/>
    <w:rsid w:val="00C0785C"/>
    <w:rsid w:val="00C106D1"/>
    <w:rsid w:val="00C10F36"/>
    <w:rsid w:val="00C1166E"/>
    <w:rsid w:val="00C117E5"/>
    <w:rsid w:val="00C1185F"/>
    <w:rsid w:val="00C121E7"/>
    <w:rsid w:val="00C12B94"/>
    <w:rsid w:val="00C12ECA"/>
    <w:rsid w:val="00C134AB"/>
    <w:rsid w:val="00C140A3"/>
    <w:rsid w:val="00C17E86"/>
    <w:rsid w:val="00C20267"/>
    <w:rsid w:val="00C21EFE"/>
    <w:rsid w:val="00C23497"/>
    <w:rsid w:val="00C2397E"/>
    <w:rsid w:val="00C23C43"/>
    <w:rsid w:val="00C24005"/>
    <w:rsid w:val="00C24A5D"/>
    <w:rsid w:val="00C3205B"/>
    <w:rsid w:val="00C32AC1"/>
    <w:rsid w:val="00C32C91"/>
    <w:rsid w:val="00C355AC"/>
    <w:rsid w:val="00C35E56"/>
    <w:rsid w:val="00C40B73"/>
    <w:rsid w:val="00C4354A"/>
    <w:rsid w:val="00C43C01"/>
    <w:rsid w:val="00C45123"/>
    <w:rsid w:val="00C46DF4"/>
    <w:rsid w:val="00C46F90"/>
    <w:rsid w:val="00C4755F"/>
    <w:rsid w:val="00C47C0D"/>
    <w:rsid w:val="00C47D1F"/>
    <w:rsid w:val="00C47D95"/>
    <w:rsid w:val="00C51192"/>
    <w:rsid w:val="00C556AA"/>
    <w:rsid w:val="00C56BF1"/>
    <w:rsid w:val="00C60ECC"/>
    <w:rsid w:val="00C61671"/>
    <w:rsid w:val="00C65565"/>
    <w:rsid w:val="00C70083"/>
    <w:rsid w:val="00C70A8C"/>
    <w:rsid w:val="00C72D01"/>
    <w:rsid w:val="00C750D3"/>
    <w:rsid w:val="00C806B1"/>
    <w:rsid w:val="00C83D2C"/>
    <w:rsid w:val="00C840A1"/>
    <w:rsid w:val="00C84B71"/>
    <w:rsid w:val="00C91415"/>
    <w:rsid w:val="00C92965"/>
    <w:rsid w:val="00C9444C"/>
    <w:rsid w:val="00C94EAB"/>
    <w:rsid w:val="00C95E92"/>
    <w:rsid w:val="00C96E44"/>
    <w:rsid w:val="00C97D58"/>
    <w:rsid w:val="00CA2177"/>
    <w:rsid w:val="00CA2B96"/>
    <w:rsid w:val="00CA373B"/>
    <w:rsid w:val="00CA45E2"/>
    <w:rsid w:val="00CA55DB"/>
    <w:rsid w:val="00CA75C9"/>
    <w:rsid w:val="00CA7A0F"/>
    <w:rsid w:val="00CB04BD"/>
    <w:rsid w:val="00CB19AA"/>
    <w:rsid w:val="00CB3266"/>
    <w:rsid w:val="00CB63A2"/>
    <w:rsid w:val="00CB696C"/>
    <w:rsid w:val="00CB7328"/>
    <w:rsid w:val="00CC0067"/>
    <w:rsid w:val="00CC28CE"/>
    <w:rsid w:val="00CC3CF0"/>
    <w:rsid w:val="00CC45A4"/>
    <w:rsid w:val="00CD1283"/>
    <w:rsid w:val="00CD3803"/>
    <w:rsid w:val="00CD3E96"/>
    <w:rsid w:val="00CD40CB"/>
    <w:rsid w:val="00CD45F6"/>
    <w:rsid w:val="00CD4654"/>
    <w:rsid w:val="00CD7616"/>
    <w:rsid w:val="00CD776B"/>
    <w:rsid w:val="00CE165D"/>
    <w:rsid w:val="00CE232A"/>
    <w:rsid w:val="00CE480A"/>
    <w:rsid w:val="00CE5709"/>
    <w:rsid w:val="00CE7A3B"/>
    <w:rsid w:val="00CE7AF5"/>
    <w:rsid w:val="00CF0B6E"/>
    <w:rsid w:val="00CF0BB5"/>
    <w:rsid w:val="00CF2C6B"/>
    <w:rsid w:val="00CF3235"/>
    <w:rsid w:val="00CF3B82"/>
    <w:rsid w:val="00CF4014"/>
    <w:rsid w:val="00CF513C"/>
    <w:rsid w:val="00CF5BA7"/>
    <w:rsid w:val="00CF603C"/>
    <w:rsid w:val="00CF7BFE"/>
    <w:rsid w:val="00D01955"/>
    <w:rsid w:val="00D02DAC"/>
    <w:rsid w:val="00D0560E"/>
    <w:rsid w:val="00D05B34"/>
    <w:rsid w:val="00D06DEF"/>
    <w:rsid w:val="00D076BE"/>
    <w:rsid w:val="00D07EA9"/>
    <w:rsid w:val="00D10226"/>
    <w:rsid w:val="00D108A9"/>
    <w:rsid w:val="00D11EAA"/>
    <w:rsid w:val="00D1663C"/>
    <w:rsid w:val="00D203A1"/>
    <w:rsid w:val="00D21A08"/>
    <w:rsid w:val="00D21A9C"/>
    <w:rsid w:val="00D21FB1"/>
    <w:rsid w:val="00D22704"/>
    <w:rsid w:val="00D23C66"/>
    <w:rsid w:val="00D256AB"/>
    <w:rsid w:val="00D25B15"/>
    <w:rsid w:val="00D31301"/>
    <w:rsid w:val="00D3134E"/>
    <w:rsid w:val="00D32B58"/>
    <w:rsid w:val="00D35F2F"/>
    <w:rsid w:val="00D375C6"/>
    <w:rsid w:val="00D40378"/>
    <w:rsid w:val="00D403CF"/>
    <w:rsid w:val="00D40461"/>
    <w:rsid w:val="00D41B25"/>
    <w:rsid w:val="00D42DB9"/>
    <w:rsid w:val="00D431E2"/>
    <w:rsid w:val="00D435DB"/>
    <w:rsid w:val="00D44F1C"/>
    <w:rsid w:val="00D45BA9"/>
    <w:rsid w:val="00D4690B"/>
    <w:rsid w:val="00D47052"/>
    <w:rsid w:val="00D51922"/>
    <w:rsid w:val="00D52851"/>
    <w:rsid w:val="00D53FAA"/>
    <w:rsid w:val="00D54601"/>
    <w:rsid w:val="00D54742"/>
    <w:rsid w:val="00D56FDE"/>
    <w:rsid w:val="00D60F3E"/>
    <w:rsid w:val="00D63294"/>
    <w:rsid w:val="00D70B3A"/>
    <w:rsid w:val="00D75AA2"/>
    <w:rsid w:val="00D81523"/>
    <w:rsid w:val="00D81E57"/>
    <w:rsid w:val="00D82141"/>
    <w:rsid w:val="00D83419"/>
    <w:rsid w:val="00D83F7A"/>
    <w:rsid w:val="00D90DE1"/>
    <w:rsid w:val="00D910F9"/>
    <w:rsid w:val="00D91F07"/>
    <w:rsid w:val="00D937D8"/>
    <w:rsid w:val="00D939B0"/>
    <w:rsid w:val="00D93CE5"/>
    <w:rsid w:val="00D946A7"/>
    <w:rsid w:val="00D948B0"/>
    <w:rsid w:val="00D94A6D"/>
    <w:rsid w:val="00D95E1E"/>
    <w:rsid w:val="00D96BB7"/>
    <w:rsid w:val="00D96EF0"/>
    <w:rsid w:val="00DA1C78"/>
    <w:rsid w:val="00DA43A9"/>
    <w:rsid w:val="00DA62B5"/>
    <w:rsid w:val="00DB1BD8"/>
    <w:rsid w:val="00DB28CB"/>
    <w:rsid w:val="00DB42AD"/>
    <w:rsid w:val="00DB47FC"/>
    <w:rsid w:val="00DB4E61"/>
    <w:rsid w:val="00DB5BD0"/>
    <w:rsid w:val="00DB6A2E"/>
    <w:rsid w:val="00DC1297"/>
    <w:rsid w:val="00DC3637"/>
    <w:rsid w:val="00DC37FE"/>
    <w:rsid w:val="00DC51DE"/>
    <w:rsid w:val="00DC6584"/>
    <w:rsid w:val="00DD00F8"/>
    <w:rsid w:val="00DD0673"/>
    <w:rsid w:val="00DD336C"/>
    <w:rsid w:val="00DD34AF"/>
    <w:rsid w:val="00DD516C"/>
    <w:rsid w:val="00DD54B5"/>
    <w:rsid w:val="00DD5E94"/>
    <w:rsid w:val="00DD7B08"/>
    <w:rsid w:val="00DE02F1"/>
    <w:rsid w:val="00DE0626"/>
    <w:rsid w:val="00DE18BB"/>
    <w:rsid w:val="00DE35FB"/>
    <w:rsid w:val="00DE4547"/>
    <w:rsid w:val="00DE731A"/>
    <w:rsid w:val="00DE7E69"/>
    <w:rsid w:val="00DE7F7E"/>
    <w:rsid w:val="00DF075D"/>
    <w:rsid w:val="00DF5B89"/>
    <w:rsid w:val="00DF5D18"/>
    <w:rsid w:val="00DF60B8"/>
    <w:rsid w:val="00DF6B3A"/>
    <w:rsid w:val="00DF6BFE"/>
    <w:rsid w:val="00DF6CCD"/>
    <w:rsid w:val="00DF792C"/>
    <w:rsid w:val="00E00197"/>
    <w:rsid w:val="00E0109F"/>
    <w:rsid w:val="00E027A8"/>
    <w:rsid w:val="00E032E1"/>
    <w:rsid w:val="00E033F8"/>
    <w:rsid w:val="00E05907"/>
    <w:rsid w:val="00E10079"/>
    <w:rsid w:val="00E164EF"/>
    <w:rsid w:val="00E200B2"/>
    <w:rsid w:val="00E20628"/>
    <w:rsid w:val="00E216F5"/>
    <w:rsid w:val="00E23154"/>
    <w:rsid w:val="00E2493F"/>
    <w:rsid w:val="00E25B7D"/>
    <w:rsid w:val="00E26C16"/>
    <w:rsid w:val="00E26F50"/>
    <w:rsid w:val="00E27C81"/>
    <w:rsid w:val="00E30BDF"/>
    <w:rsid w:val="00E33E59"/>
    <w:rsid w:val="00E3464F"/>
    <w:rsid w:val="00E3628B"/>
    <w:rsid w:val="00E367AC"/>
    <w:rsid w:val="00E37B4E"/>
    <w:rsid w:val="00E43CF8"/>
    <w:rsid w:val="00E44FDF"/>
    <w:rsid w:val="00E45241"/>
    <w:rsid w:val="00E45641"/>
    <w:rsid w:val="00E46547"/>
    <w:rsid w:val="00E46664"/>
    <w:rsid w:val="00E46891"/>
    <w:rsid w:val="00E46E49"/>
    <w:rsid w:val="00E544A9"/>
    <w:rsid w:val="00E54C5D"/>
    <w:rsid w:val="00E61BD6"/>
    <w:rsid w:val="00E6445D"/>
    <w:rsid w:val="00E65A8E"/>
    <w:rsid w:val="00E661BC"/>
    <w:rsid w:val="00E67AC8"/>
    <w:rsid w:val="00E714BC"/>
    <w:rsid w:val="00E7239A"/>
    <w:rsid w:val="00E72A80"/>
    <w:rsid w:val="00E72E93"/>
    <w:rsid w:val="00E74FCA"/>
    <w:rsid w:val="00E756EE"/>
    <w:rsid w:val="00E75C17"/>
    <w:rsid w:val="00E770C0"/>
    <w:rsid w:val="00E7781B"/>
    <w:rsid w:val="00E80F28"/>
    <w:rsid w:val="00E82E81"/>
    <w:rsid w:val="00E82F5E"/>
    <w:rsid w:val="00E85C9E"/>
    <w:rsid w:val="00E87FE3"/>
    <w:rsid w:val="00E93F2D"/>
    <w:rsid w:val="00E9482B"/>
    <w:rsid w:val="00E96225"/>
    <w:rsid w:val="00E9693C"/>
    <w:rsid w:val="00E96DEF"/>
    <w:rsid w:val="00EA040E"/>
    <w:rsid w:val="00EA153D"/>
    <w:rsid w:val="00EA47AF"/>
    <w:rsid w:val="00EA542F"/>
    <w:rsid w:val="00EA777B"/>
    <w:rsid w:val="00EB08D9"/>
    <w:rsid w:val="00EB092B"/>
    <w:rsid w:val="00EB1696"/>
    <w:rsid w:val="00EB26F3"/>
    <w:rsid w:val="00EB5820"/>
    <w:rsid w:val="00EB5D9C"/>
    <w:rsid w:val="00EB64B9"/>
    <w:rsid w:val="00EC1C73"/>
    <w:rsid w:val="00EC3303"/>
    <w:rsid w:val="00EC402A"/>
    <w:rsid w:val="00EC4B2F"/>
    <w:rsid w:val="00EC6C67"/>
    <w:rsid w:val="00EC6CCD"/>
    <w:rsid w:val="00EC7510"/>
    <w:rsid w:val="00ED13A4"/>
    <w:rsid w:val="00ED250D"/>
    <w:rsid w:val="00ED4EA4"/>
    <w:rsid w:val="00ED6690"/>
    <w:rsid w:val="00ED7712"/>
    <w:rsid w:val="00EE1BFC"/>
    <w:rsid w:val="00EE4FEB"/>
    <w:rsid w:val="00EE6BB7"/>
    <w:rsid w:val="00EE7E8E"/>
    <w:rsid w:val="00EF0443"/>
    <w:rsid w:val="00EF0DC3"/>
    <w:rsid w:val="00EF16B0"/>
    <w:rsid w:val="00EF25E8"/>
    <w:rsid w:val="00EF2C07"/>
    <w:rsid w:val="00EF3058"/>
    <w:rsid w:val="00EF40B9"/>
    <w:rsid w:val="00EF74BE"/>
    <w:rsid w:val="00F023CE"/>
    <w:rsid w:val="00F036D1"/>
    <w:rsid w:val="00F056FE"/>
    <w:rsid w:val="00F065F4"/>
    <w:rsid w:val="00F10AB2"/>
    <w:rsid w:val="00F13158"/>
    <w:rsid w:val="00F14004"/>
    <w:rsid w:val="00F146BC"/>
    <w:rsid w:val="00F147E1"/>
    <w:rsid w:val="00F14F34"/>
    <w:rsid w:val="00F15486"/>
    <w:rsid w:val="00F21DE4"/>
    <w:rsid w:val="00F25090"/>
    <w:rsid w:val="00F261FA"/>
    <w:rsid w:val="00F26398"/>
    <w:rsid w:val="00F270A0"/>
    <w:rsid w:val="00F272A0"/>
    <w:rsid w:val="00F33286"/>
    <w:rsid w:val="00F33CD2"/>
    <w:rsid w:val="00F37D61"/>
    <w:rsid w:val="00F37E60"/>
    <w:rsid w:val="00F401D5"/>
    <w:rsid w:val="00F414DA"/>
    <w:rsid w:val="00F45D2F"/>
    <w:rsid w:val="00F45D97"/>
    <w:rsid w:val="00F4643B"/>
    <w:rsid w:val="00F504AD"/>
    <w:rsid w:val="00F5079F"/>
    <w:rsid w:val="00F51412"/>
    <w:rsid w:val="00F51798"/>
    <w:rsid w:val="00F51BC7"/>
    <w:rsid w:val="00F51CF1"/>
    <w:rsid w:val="00F521DF"/>
    <w:rsid w:val="00F534F1"/>
    <w:rsid w:val="00F53644"/>
    <w:rsid w:val="00F538F8"/>
    <w:rsid w:val="00F53D70"/>
    <w:rsid w:val="00F55BD6"/>
    <w:rsid w:val="00F55F8F"/>
    <w:rsid w:val="00F565EF"/>
    <w:rsid w:val="00F566DF"/>
    <w:rsid w:val="00F56BB3"/>
    <w:rsid w:val="00F57CC5"/>
    <w:rsid w:val="00F57E03"/>
    <w:rsid w:val="00F61945"/>
    <w:rsid w:val="00F6238A"/>
    <w:rsid w:val="00F66B5F"/>
    <w:rsid w:val="00F67AB5"/>
    <w:rsid w:val="00F71350"/>
    <w:rsid w:val="00F71E0B"/>
    <w:rsid w:val="00F71E3C"/>
    <w:rsid w:val="00F72F6F"/>
    <w:rsid w:val="00F73348"/>
    <w:rsid w:val="00F76691"/>
    <w:rsid w:val="00F80789"/>
    <w:rsid w:val="00F8078C"/>
    <w:rsid w:val="00F80ADF"/>
    <w:rsid w:val="00F81B3A"/>
    <w:rsid w:val="00F82187"/>
    <w:rsid w:val="00F82624"/>
    <w:rsid w:val="00F8267C"/>
    <w:rsid w:val="00F92690"/>
    <w:rsid w:val="00F936FF"/>
    <w:rsid w:val="00F9470C"/>
    <w:rsid w:val="00F94A57"/>
    <w:rsid w:val="00FA4257"/>
    <w:rsid w:val="00FA4389"/>
    <w:rsid w:val="00FA4ACA"/>
    <w:rsid w:val="00FA63E2"/>
    <w:rsid w:val="00FB0F78"/>
    <w:rsid w:val="00FB3CA1"/>
    <w:rsid w:val="00FB424C"/>
    <w:rsid w:val="00FB5C81"/>
    <w:rsid w:val="00FB5DC2"/>
    <w:rsid w:val="00FB71E3"/>
    <w:rsid w:val="00FB7272"/>
    <w:rsid w:val="00FC1365"/>
    <w:rsid w:val="00FC1D1F"/>
    <w:rsid w:val="00FC34BF"/>
    <w:rsid w:val="00FC39F1"/>
    <w:rsid w:val="00FC5217"/>
    <w:rsid w:val="00FC54DD"/>
    <w:rsid w:val="00FC6016"/>
    <w:rsid w:val="00FD1003"/>
    <w:rsid w:val="00FD1E4B"/>
    <w:rsid w:val="00FD3D7B"/>
    <w:rsid w:val="00FD4C75"/>
    <w:rsid w:val="00FD6281"/>
    <w:rsid w:val="00FD65D7"/>
    <w:rsid w:val="00FD6956"/>
    <w:rsid w:val="00FD7DD5"/>
    <w:rsid w:val="00FE1E77"/>
    <w:rsid w:val="00FE26F0"/>
    <w:rsid w:val="00FE4913"/>
    <w:rsid w:val="00FE4A80"/>
    <w:rsid w:val="00FE760D"/>
    <w:rsid w:val="00FE78D0"/>
    <w:rsid w:val="00FF0359"/>
    <w:rsid w:val="00FF08A4"/>
    <w:rsid w:val="00FF0AF6"/>
    <w:rsid w:val="00FF0F60"/>
    <w:rsid w:val="00FF29C8"/>
    <w:rsid w:val="00FF31CD"/>
    <w:rsid w:val="00FF3622"/>
    <w:rsid w:val="00FF409D"/>
    <w:rsid w:val="00FF5752"/>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045A"/>
  <w15:chartTrackingRefBased/>
  <w15:docId w15:val="{6EF405FC-27DE-4A18-A21E-57A7CAF4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802"/>
    <w:pPr>
      <w:spacing w:after="3" w:line="240" w:lineRule="auto"/>
      <w:ind w:left="720" w:right="3" w:hanging="10"/>
      <w:contextualSpacing/>
      <w:jc w:val="both"/>
    </w:pPr>
    <w:rPr>
      <w:rFonts w:ascii="Courier New" w:eastAsia="Courier New" w:hAnsi="Courier New" w:cs="Courier New"/>
      <w:color w:val="000000"/>
      <w:kern w:val="0"/>
      <w:sz w:val="24"/>
      <w14:ligatures w14:val="none"/>
    </w:rPr>
  </w:style>
  <w:style w:type="paragraph" w:styleId="Header">
    <w:name w:val="header"/>
    <w:basedOn w:val="Normal"/>
    <w:link w:val="HeaderChar"/>
    <w:uiPriority w:val="99"/>
    <w:unhideWhenUsed/>
    <w:rsid w:val="000C6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0E9"/>
  </w:style>
  <w:style w:type="paragraph" w:styleId="Footer">
    <w:name w:val="footer"/>
    <w:basedOn w:val="Normal"/>
    <w:link w:val="FooterChar"/>
    <w:uiPriority w:val="99"/>
    <w:unhideWhenUsed/>
    <w:rsid w:val="000C6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0E9"/>
  </w:style>
  <w:style w:type="paragraph" w:styleId="NormalWeb">
    <w:name w:val="Normal (Web)"/>
    <w:basedOn w:val="Normal"/>
    <w:uiPriority w:val="99"/>
    <w:unhideWhenUsed/>
    <w:rsid w:val="008871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query-text-line">
    <w:name w:val="query-text-line"/>
    <w:basedOn w:val="Normal"/>
    <w:rsid w:val="00793A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g-tns-c1960674639-42">
    <w:name w:val="ng-tns-c1960674639-42"/>
    <w:basedOn w:val="DefaultParagraphFont"/>
    <w:rsid w:val="00793AD1"/>
  </w:style>
  <w:style w:type="paragraph" w:customStyle="1" w:styleId="first-token">
    <w:name w:val="first-token"/>
    <w:basedOn w:val="Normal"/>
    <w:rsid w:val="00793A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93AD1"/>
    <w:rPr>
      <w:b/>
      <w:bCs/>
    </w:rPr>
  </w:style>
  <w:style w:type="character" w:styleId="Emphasis">
    <w:name w:val="Emphasis"/>
    <w:basedOn w:val="DefaultParagraphFont"/>
    <w:uiPriority w:val="20"/>
    <w:qFormat/>
    <w:rsid w:val="00CD4654"/>
    <w:rPr>
      <w:i/>
      <w:iCs/>
    </w:rPr>
  </w:style>
  <w:style w:type="paragraph" w:customStyle="1" w:styleId="ydpef9f26d9yiv7620069848xydp682cc61fmsonormal">
    <w:name w:val="ydpef9f26d9yiv7620069848x_ydp682cc61fmsonormal"/>
    <w:basedOn w:val="Normal"/>
    <w:rsid w:val="00156CBF"/>
    <w:pPr>
      <w:spacing w:before="100" w:beforeAutospacing="1" w:after="100" w:afterAutospacing="1"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539">
      <w:bodyDiv w:val="1"/>
      <w:marLeft w:val="0"/>
      <w:marRight w:val="0"/>
      <w:marTop w:val="0"/>
      <w:marBottom w:val="0"/>
      <w:divBdr>
        <w:top w:val="none" w:sz="0" w:space="0" w:color="auto"/>
        <w:left w:val="none" w:sz="0" w:space="0" w:color="auto"/>
        <w:bottom w:val="none" w:sz="0" w:space="0" w:color="auto"/>
        <w:right w:val="none" w:sz="0" w:space="0" w:color="auto"/>
      </w:divBdr>
    </w:div>
    <w:div w:id="32929676">
      <w:bodyDiv w:val="1"/>
      <w:marLeft w:val="0"/>
      <w:marRight w:val="0"/>
      <w:marTop w:val="0"/>
      <w:marBottom w:val="0"/>
      <w:divBdr>
        <w:top w:val="none" w:sz="0" w:space="0" w:color="auto"/>
        <w:left w:val="none" w:sz="0" w:space="0" w:color="auto"/>
        <w:bottom w:val="none" w:sz="0" w:space="0" w:color="auto"/>
        <w:right w:val="none" w:sz="0" w:space="0" w:color="auto"/>
      </w:divBdr>
    </w:div>
    <w:div w:id="46536927">
      <w:bodyDiv w:val="1"/>
      <w:marLeft w:val="0"/>
      <w:marRight w:val="0"/>
      <w:marTop w:val="0"/>
      <w:marBottom w:val="0"/>
      <w:divBdr>
        <w:top w:val="none" w:sz="0" w:space="0" w:color="auto"/>
        <w:left w:val="none" w:sz="0" w:space="0" w:color="auto"/>
        <w:bottom w:val="none" w:sz="0" w:space="0" w:color="auto"/>
        <w:right w:val="none" w:sz="0" w:space="0" w:color="auto"/>
      </w:divBdr>
      <w:divsChild>
        <w:div w:id="1887595802">
          <w:marLeft w:val="0"/>
          <w:marRight w:val="0"/>
          <w:marTop w:val="0"/>
          <w:marBottom w:val="0"/>
          <w:divBdr>
            <w:top w:val="single" w:sz="2" w:space="0" w:color="E3E3E3"/>
            <w:left w:val="single" w:sz="2" w:space="0" w:color="E3E3E3"/>
            <w:bottom w:val="single" w:sz="2" w:space="0" w:color="E3E3E3"/>
            <w:right w:val="single" w:sz="2" w:space="0" w:color="E3E3E3"/>
          </w:divBdr>
          <w:divsChild>
            <w:div w:id="90129155">
              <w:marLeft w:val="0"/>
              <w:marRight w:val="0"/>
              <w:marTop w:val="0"/>
              <w:marBottom w:val="0"/>
              <w:divBdr>
                <w:top w:val="single" w:sz="2" w:space="0" w:color="E3E3E3"/>
                <w:left w:val="single" w:sz="2" w:space="0" w:color="E3E3E3"/>
                <w:bottom w:val="single" w:sz="2" w:space="0" w:color="E3E3E3"/>
                <w:right w:val="single" w:sz="2" w:space="0" w:color="E3E3E3"/>
              </w:divBdr>
              <w:divsChild>
                <w:div w:id="968514216">
                  <w:marLeft w:val="0"/>
                  <w:marRight w:val="0"/>
                  <w:marTop w:val="0"/>
                  <w:marBottom w:val="0"/>
                  <w:divBdr>
                    <w:top w:val="single" w:sz="2" w:space="0" w:color="E3E3E3"/>
                    <w:left w:val="single" w:sz="2" w:space="0" w:color="E3E3E3"/>
                    <w:bottom w:val="single" w:sz="2" w:space="0" w:color="E3E3E3"/>
                    <w:right w:val="single" w:sz="2" w:space="0" w:color="E3E3E3"/>
                  </w:divBdr>
                  <w:divsChild>
                    <w:div w:id="1612200535">
                      <w:marLeft w:val="0"/>
                      <w:marRight w:val="0"/>
                      <w:marTop w:val="0"/>
                      <w:marBottom w:val="0"/>
                      <w:divBdr>
                        <w:top w:val="single" w:sz="2" w:space="0" w:color="E3E3E3"/>
                        <w:left w:val="single" w:sz="2" w:space="0" w:color="E3E3E3"/>
                        <w:bottom w:val="single" w:sz="2" w:space="0" w:color="E3E3E3"/>
                        <w:right w:val="single" w:sz="2" w:space="0" w:color="E3E3E3"/>
                      </w:divBdr>
                      <w:divsChild>
                        <w:div w:id="879056781">
                          <w:marLeft w:val="0"/>
                          <w:marRight w:val="0"/>
                          <w:marTop w:val="0"/>
                          <w:marBottom w:val="0"/>
                          <w:divBdr>
                            <w:top w:val="single" w:sz="2" w:space="0" w:color="E3E3E3"/>
                            <w:left w:val="single" w:sz="2" w:space="0" w:color="E3E3E3"/>
                            <w:bottom w:val="single" w:sz="2" w:space="0" w:color="E3E3E3"/>
                            <w:right w:val="single" w:sz="2" w:space="0" w:color="E3E3E3"/>
                          </w:divBdr>
                          <w:divsChild>
                            <w:div w:id="1170214644">
                              <w:marLeft w:val="0"/>
                              <w:marRight w:val="0"/>
                              <w:marTop w:val="0"/>
                              <w:marBottom w:val="0"/>
                              <w:divBdr>
                                <w:top w:val="single" w:sz="2" w:space="0" w:color="E3E3E3"/>
                                <w:left w:val="single" w:sz="2" w:space="0" w:color="E3E3E3"/>
                                <w:bottom w:val="single" w:sz="2" w:space="0" w:color="E3E3E3"/>
                                <w:right w:val="single" w:sz="2" w:space="0" w:color="E3E3E3"/>
                              </w:divBdr>
                              <w:divsChild>
                                <w:div w:id="1058865411">
                                  <w:marLeft w:val="0"/>
                                  <w:marRight w:val="0"/>
                                  <w:marTop w:val="100"/>
                                  <w:marBottom w:val="100"/>
                                  <w:divBdr>
                                    <w:top w:val="single" w:sz="2" w:space="0" w:color="E3E3E3"/>
                                    <w:left w:val="single" w:sz="2" w:space="0" w:color="E3E3E3"/>
                                    <w:bottom w:val="single" w:sz="2" w:space="0" w:color="E3E3E3"/>
                                    <w:right w:val="single" w:sz="2" w:space="0" w:color="E3E3E3"/>
                                  </w:divBdr>
                                  <w:divsChild>
                                    <w:div w:id="637759377">
                                      <w:marLeft w:val="0"/>
                                      <w:marRight w:val="0"/>
                                      <w:marTop w:val="0"/>
                                      <w:marBottom w:val="0"/>
                                      <w:divBdr>
                                        <w:top w:val="single" w:sz="2" w:space="0" w:color="E3E3E3"/>
                                        <w:left w:val="single" w:sz="2" w:space="0" w:color="E3E3E3"/>
                                        <w:bottom w:val="single" w:sz="2" w:space="0" w:color="E3E3E3"/>
                                        <w:right w:val="single" w:sz="2" w:space="0" w:color="E3E3E3"/>
                                      </w:divBdr>
                                      <w:divsChild>
                                        <w:div w:id="155801330">
                                          <w:marLeft w:val="0"/>
                                          <w:marRight w:val="0"/>
                                          <w:marTop w:val="0"/>
                                          <w:marBottom w:val="0"/>
                                          <w:divBdr>
                                            <w:top w:val="single" w:sz="2" w:space="0" w:color="E3E3E3"/>
                                            <w:left w:val="single" w:sz="2" w:space="0" w:color="E3E3E3"/>
                                            <w:bottom w:val="single" w:sz="2" w:space="0" w:color="E3E3E3"/>
                                            <w:right w:val="single" w:sz="2" w:space="0" w:color="E3E3E3"/>
                                          </w:divBdr>
                                          <w:divsChild>
                                            <w:div w:id="986857406">
                                              <w:marLeft w:val="0"/>
                                              <w:marRight w:val="0"/>
                                              <w:marTop w:val="0"/>
                                              <w:marBottom w:val="0"/>
                                              <w:divBdr>
                                                <w:top w:val="single" w:sz="2" w:space="0" w:color="E3E3E3"/>
                                                <w:left w:val="single" w:sz="2" w:space="0" w:color="E3E3E3"/>
                                                <w:bottom w:val="single" w:sz="2" w:space="0" w:color="E3E3E3"/>
                                                <w:right w:val="single" w:sz="2" w:space="0" w:color="E3E3E3"/>
                                              </w:divBdr>
                                              <w:divsChild>
                                                <w:div w:id="1932156292">
                                                  <w:marLeft w:val="0"/>
                                                  <w:marRight w:val="0"/>
                                                  <w:marTop w:val="0"/>
                                                  <w:marBottom w:val="0"/>
                                                  <w:divBdr>
                                                    <w:top w:val="single" w:sz="2" w:space="0" w:color="E3E3E3"/>
                                                    <w:left w:val="single" w:sz="2" w:space="0" w:color="E3E3E3"/>
                                                    <w:bottom w:val="single" w:sz="2" w:space="0" w:color="E3E3E3"/>
                                                    <w:right w:val="single" w:sz="2" w:space="0" w:color="E3E3E3"/>
                                                  </w:divBdr>
                                                  <w:divsChild>
                                                    <w:div w:id="1162087091">
                                                      <w:marLeft w:val="0"/>
                                                      <w:marRight w:val="0"/>
                                                      <w:marTop w:val="0"/>
                                                      <w:marBottom w:val="0"/>
                                                      <w:divBdr>
                                                        <w:top w:val="single" w:sz="2" w:space="0" w:color="E3E3E3"/>
                                                        <w:left w:val="single" w:sz="2" w:space="0" w:color="E3E3E3"/>
                                                        <w:bottom w:val="single" w:sz="2" w:space="0" w:color="E3E3E3"/>
                                                        <w:right w:val="single" w:sz="2" w:space="0" w:color="E3E3E3"/>
                                                      </w:divBdr>
                                                      <w:divsChild>
                                                        <w:div w:id="797836287">
                                                          <w:marLeft w:val="0"/>
                                                          <w:marRight w:val="0"/>
                                                          <w:marTop w:val="0"/>
                                                          <w:marBottom w:val="0"/>
                                                          <w:divBdr>
                                                            <w:top w:val="single" w:sz="2" w:space="2" w:color="E3E3E3"/>
                                                            <w:left w:val="single" w:sz="2" w:space="0" w:color="E3E3E3"/>
                                                            <w:bottom w:val="single" w:sz="2" w:space="0" w:color="E3E3E3"/>
                                                            <w:right w:val="single" w:sz="2" w:space="0" w:color="E3E3E3"/>
                                                          </w:divBdr>
                                                          <w:divsChild>
                                                            <w:div w:id="1689116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7049386">
          <w:marLeft w:val="0"/>
          <w:marRight w:val="0"/>
          <w:marTop w:val="0"/>
          <w:marBottom w:val="0"/>
          <w:divBdr>
            <w:top w:val="none" w:sz="0" w:space="0" w:color="auto"/>
            <w:left w:val="none" w:sz="0" w:space="0" w:color="auto"/>
            <w:bottom w:val="none" w:sz="0" w:space="0" w:color="auto"/>
            <w:right w:val="none" w:sz="0" w:space="0" w:color="auto"/>
          </w:divBdr>
          <w:divsChild>
            <w:div w:id="252780406">
              <w:marLeft w:val="0"/>
              <w:marRight w:val="0"/>
              <w:marTop w:val="100"/>
              <w:marBottom w:val="100"/>
              <w:divBdr>
                <w:top w:val="single" w:sz="2" w:space="0" w:color="E3E3E3"/>
                <w:left w:val="single" w:sz="2" w:space="0" w:color="E3E3E3"/>
                <w:bottom w:val="single" w:sz="2" w:space="0" w:color="E3E3E3"/>
                <w:right w:val="single" w:sz="2" w:space="0" w:color="E3E3E3"/>
              </w:divBdr>
              <w:divsChild>
                <w:div w:id="3701128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0471259">
      <w:bodyDiv w:val="1"/>
      <w:marLeft w:val="0"/>
      <w:marRight w:val="0"/>
      <w:marTop w:val="0"/>
      <w:marBottom w:val="0"/>
      <w:divBdr>
        <w:top w:val="none" w:sz="0" w:space="0" w:color="auto"/>
        <w:left w:val="none" w:sz="0" w:space="0" w:color="auto"/>
        <w:bottom w:val="none" w:sz="0" w:space="0" w:color="auto"/>
        <w:right w:val="none" w:sz="0" w:space="0" w:color="auto"/>
      </w:divBdr>
      <w:divsChild>
        <w:div w:id="123471773">
          <w:marLeft w:val="0"/>
          <w:marRight w:val="0"/>
          <w:marTop w:val="0"/>
          <w:marBottom w:val="0"/>
          <w:divBdr>
            <w:top w:val="none" w:sz="0" w:space="0" w:color="auto"/>
            <w:left w:val="none" w:sz="0" w:space="0" w:color="auto"/>
            <w:bottom w:val="none" w:sz="0" w:space="0" w:color="auto"/>
            <w:right w:val="none" w:sz="0" w:space="0" w:color="auto"/>
          </w:divBdr>
          <w:divsChild>
            <w:div w:id="54935650">
              <w:marLeft w:val="0"/>
              <w:marRight w:val="0"/>
              <w:marTop w:val="0"/>
              <w:marBottom w:val="0"/>
              <w:divBdr>
                <w:top w:val="none" w:sz="0" w:space="0" w:color="auto"/>
                <w:left w:val="none" w:sz="0" w:space="0" w:color="auto"/>
                <w:bottom w:val="none" w:sz="0" w:space="0" w:color="auto"/>
                <w:right w:val="none" w:sz="0" w:space="0" w:color="auto"/>
              </w:divBdr>
              <w:divsChild>
                <w:div w:id="1271819608">
                  <w:marLeft w:val="0"/>
                  <w:marRight w:val="0"/>
                  <w:marTop w:val="0"/>
                  <w:marBottom w:val="0"/>
                  <w:divBdr>
                    <w:top w:val="none" w:sz="0" w:space="0" w:color="auto"/>
                    <w:left w:val="none" w:sz="0" w:space="0" w:color="auto"/>
                    <w:bottom w:val="none" w:sz="0" w:space="0" w:color="auto"/>
                    <w:right w:val="none" w:sz="0" w:space="0" w:color="auto"/>
                  </w:divBdr>
                  <w:divsChild>
                    <w:div w:id="51779521">
                      <w:marLeft w:val="0"/>
                      <w:marRight w:val="0"/>
                      <w:marTop w:val="0"/>
                      <w:marBottom w:val="0"/>
                      <w:divBdr>
                        <w:top w:val="none" w:sz="0" w:space="0" w:color="auto"/>
                        <w:left w:val="none" w:sz="0" w:space="0" w:color="auto"/>
                        <w:bottom w:val="none" w:sz="0" w:space="0" w:color="auto"/>
                        <w:right w:val="none" w:sz="0" w:space="0" w:color="auto"/>
                      </w:divBdr>
                      <w:divsChild>
                        <w:div w:id="1754622430">
                          <w:marLeft w:val="0"/>
                          <w:marRight w:val="0"/>
                          <w:marTop w:val="0"/>
                          <w:marBottom w:val="0"/>
                          <w:divBdr>
                            <w:top w:val="none" w:sz="0" w:space="0" w:color="auto"/>
                            <w:left w:val="none" w:sz="0" w:space="0" w:color="auto"/>
                            <w:bottom w:val="none" w:sz="0" w:space="0" w:color="auto"/>
                            <w:right w:val="none" w:sz="0" w:space="0" w:color="auto"/>
                          </w:divBdr>
                          <w:divsChild>
                            <w:div w:id="622998774">
                              <w:marLeft w:val="0"/>
                              <w:marRight w:val="0"/>
                              <w:marTop w:val="0"/>
                              <w:marBottom w:val="0"/>
                              <w:divBdr>
                                <w:top w:val="none" w:sz="0" w:space="0" w:color="auto"/>
                                <w:left w:val="none" w:sz="0" w:space="0" w:color="auto"/>
                                <w:bottom w:val="none" w:sz="0" w:space="0" w:color="auto"/>
                                <w:right w:val="none" w:sz="0" w:space="0" w:color="auto"/>
                              </w:divBdr>
                              <w:divsChild>
                                <w:div w:id="470514794">
                                  <w:marLeft w:val="0"/>
                                  <w:marRight w:val="0"/>
                                  <w:marTop w:val="0"/>
                                  <w:marBottom w:val="0"/>
                                  <w:divBdr>
                                    <w:top w:val="none" w:sz="0" w:space="0" w:color="auto"/>
                                    <w:left w:val="none" w:sz="0" w:space="0" w:color="auto"/>
                                    <w:bottom w:val="none" w:sz="0" w:space="0" w:color="auto"/>
                                    <w:right w:val="none" w:sz="0" w:space="0" w:color="auto"/>
                                  </w:divBdr>
                                  <w:divsChild>
                                    <w:div w:id="18169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427650">
          <w:marLeft w:val="0"/>
          <w:marRight w:val="0"/>
          <w:marTop w:val="0"/>
          <w:marBottom w:val="0"/>
          <w:divBdr>
            <w:top w:val="none" w:sz="0" w:space="0" w:color="auto"/>
            <w:left w:val="none" w:sz="0" w:space="0" w:color="auto"/>
            <w:bottom w:val="none" w:sz="0" w:space="0" w:color="auto"/>
            <w:right w:val="none" w:sz="0" w:space="0" w:color="auto"/>
          </w:divBdr>
          <w:divsChild>
            <w:div w:id="1402944398">
              <w:marLeft w:val="0"/>
              <w:marRight w:val="0"/>
              <w:marTop w:val="0"/>
              <w:marBottom w:val="0"/>
              <w:divBdr>
                <w:top w:val="none" w:sz="0" w:space="0" w:color="auto"/>
                <w:left w:val="none" w:sz="0" w:space="0" w:color="auto"/>
                <w:bottom w:val="none" w:sz="0" w:space="0" w:color="auto"/>
                <w:right w:val="none" w:sz="0" w:space="0" w:color="auto"/>
              </w:divBdr>
              <w:divsChild>
                <w:div w:id="233318582">
                  <w:marLeft w:val="0"/>
                  <w:marRight w:val="0"/>
                  <w:marTop w:val="0"/>
                  <w:marBottom w:val="0"/>
                  <w:divBdr>
                    <w:top w:val="none" w:sz="0" w:space="0" w:color="auto"/>
                    <w:left w:val="none" w:sz="0" w:space="0" w:color="auto"/>
                    <w:bottom w:val="none" w:sz="0" w:space="0" w:color="auto"/>
                    <w:right w:val="none" w:sz="0" w:space="0" w:color="auto"/>
                  </w:divBdr>
                  <w:divsChild>
                    <w:div w:id="438331788">
                      <w:marLeft w:val="0"/>
                      <w:marRight w:val="0"/>
                      <w:marTop w:val="0"/>
                      <w:marBottom w:val="0"/>
                      <w:divBdr>
                        <w:top w:val="none" w:sz="0" w:space="0" w:color="auto"/>
                        <w:left w:val="none" w:sz="0" w:space="0" w:color="auto"/>
                        <w:bottom w:val="none" w:sz="0" w:space="0" w:color="auto"/>
                        <w:right w:val="none" w:sz="0" w:space="0" w:color="auto"/>
                      </w:divBdr>
                    </w:div>
                    <w:div w:id="1364792387">
                      <w:marLeft w:val="0"/>
                      <w:marRight w:val="0"/>
                      <w:marTop w:val="0"/>
                      <w:marBottom w:val="0"/>
                      <w:divBdr>
                        <w:top w:val="none" w:sz="0" w:space="0" w:color="auto"/>
                        <w:left w:val="none" w:sz="0" w:space="0" w:color="auto"/>
                        <w:bottom w:val="none" w:sz="0" w:space="0" w:color="auto"/>
                        <w:right w:val="none" w:sz="0" w:space="0" w:color="auto"/>
                      </w:divBdr>
                    </w:div>
                    <w:div w:id="1696080041">
                      <w:marLeft w:val="0"/>
                      <w:marRight w:val="0"/>
                      <w:marTop w:val="0"/>
                      <w:marBottom w:val="0"/>
                      <w:divBdr>
                        <w:top w:val="none" w:sz="0" w:space="0" w:color="auto"/>
                        <w:left w:val="none" w:sz="0" w:space="0" w:color="auto"/>
                        <w:bottom w:val="none" w:sz="0" w:space="0" w:color="auto"/>
                        <w:right w:val="none" w:sz="0" w:space="0" w:color="auto"/>
                      </w:divBdr>
                      <w:divsChild>
                        <w:div w:id="402459454">
                          <w:marLeft w:val="0"/>
                          <w:marRight w:val="0"/>
                          <w:marTop w:val="0"/>
                          <w:marBottom w:val="0"/>
                          <w:divBdr>
                            <w:top w:val="none" w:sz="0" w:space="0" w:color="auto"/>
                            <w:left w:val="none" w:sz="0" w:space="0" w:color="auto"/>
                            <w:bottom w:val="none" w:sz="0" w:space="0" w:color="auto"/>
                            <w:right w:val="none" w:sz="0" w:space="0" w:color="auto"/>
                          </w:divBdr>
                          <w:divsChild>
                            <w:div w:id="488404904">
                              <w:marLeft w:val="0"/>
                              <w:marRight w:val="0"/>
                              <w:marTop w:val="0"/>
                              <w:marBottom w:val="0"/>
                              <w:divBdr>
                                <w:top w:val="none" w:sz="0" w:space="0" w:color="auto"/>
                                <w:left w:val="none" w:sz="0" w:space="0" w:color="auto"/>
                                <w:bottom w:val="none" w:sz="0" w:space="0" w:color="auto"/>
                                <w:right w:val="none" w:sz="0" w:space="0" w:color="auto"/>
                              </w:divBdr>
                              <w:divsChild>
                                <w:div w:id="1565027970">
                                  <w:marLeft w:val="0"/>
                                  <w:marRight w:val="0"/>
                                  <w:marTop w:val="0"/>
                                  <w:marBottom w:val="0"/>
                                  <w:divBdr>
                                    <w:top w:val="none" w:sz="0" w:space="0" w:color="auto"/>
                                    <w:left w:val="none" w:sz="0" w:space="0" w:color="auto"/>
                                    <w:bottom w:val="none" w:sz="0" w:space="0" w:color="auto"/>
                                    <w:right w:val="none" w:sz="0" w:space="0" w:color="auto"/>
                                  </w:divBdr>
                                  <w:divsChild>
                                    <w:div w:id="14925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4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224">
      <w:bodyDiv w:val="1"/>
      <w:marLeft w:val="0"/>
      <w:marRight w:val="0"/>
      <w:marTop w:val="0"/>
      <w:marBottom w:val="0"/>
      <w:divBdr>
        <w:top w:val="none" w:sz="0" w:space="0" w:color="auto"/>
        <w:left w:val="none" w:sz="0" w:space="0" w:color="auto"/>
        <w:bottom w:val="none" w:sz="0" w:space="0" w:color="auto"/>
        <w:right w:val="none" w:sz="0" w:space="0" w:color="auto"/>
      </w:divBdr>
    </w:div>
    <w:div w:id="220679383">
      <w:bodyDiv w:val="1"/>
      <w:marLeft w:val="0"/>
      <w:marRight w:val="0"/>
      <w:marTop w:val="0"/>
      <w:marBottom w:val="0"/>
      <w:divBdr>
        <w:top w:val="none" w:sz="0" w:space="0" w:color="auto"/>
        <w:left w:val="none" w:sz="0" w:space="0" w:color="auto"/>
        <w:bottom w:val="none" w:sz="0" w:space="0" w:color="auto"/>
        <w:right w:val="none" w:sz="0" w:space="0" w:color="auto"/>
      </w:divBdr>
      <w:divsChild>
        <w:div w:id="1815365942">
          <w:marLeft w:val="0"/>
          <w:marRight w:val="0"/>
          <w:marTop w:val="0"/>
          <w:marBottom w:val="0"/>
          <w:divBdr>
            <w:top w:val="single" w:sz="2" w:space="0" w:color="E3E3E3"/>
            <w:left w:val="single" w:sz="2" w:space="0" w:color="E3E3E3"/>
            <w:bottom w:val="single" w:sz="2" w:space="0" w:color="E3E3E3"/>
            <w:right w:val="single" w:sz="2" w:space="0" w:color="E3E3E3"/>
          </w:divBdr>
          <w:divsChild>
            <w:div w:id="1856530866">
              <w:marLeft w:val="0"/>
              <w:marRight w:val="0"/>
              <w:marTop w:val="100"/>
              <w:marBottom w:val="100"/>
              <w:divBdr>
                <w:top w:val="single" w:sz="2" w:space="0" w:color="E3E3E3"/>
                <w:left w:val="single" w:sz="2" w:space="0" w:color="E3E3E3"/>
                <w:bottom w:val="single" w:sz="2" w:space="0" w:color="E3E3E3"/>
                <w:right w:val="single" w:sz="2" w:space="0" w:color="E3E3E3"/>
              </w:divBdr>
              <w:divsChild>
                <w:div w:id="577134855">
                  <w:marLeft w:val="0"/>
                  <w:marRight w:val="0"/>
                  <w:marTop w:val="0"/>
                  <w:marBottom w:val="0"/>
                  <w:divBdr>
                    <w:top w:val="single" w:sz="2" w:space="0" w:color="E3E3E3"/>
                    <w:left w:val="single" w:sz="2" w:space="0" w:color="E3E3E3"/>
                    <w:bottom w:val="single" w:sz="2" w:space="0" w:color="E3E3E3"/>
                    <w:right w:val="single" w:sz="2" w:space="0" w:color="E3E3E3"/>
                  </w:divBdr>
                  <w:divsChild>
                    <w:div w:id="1095244602">
                      <w:marLeft w:val="0"/>
                      <w:marRight w:val="0"/>
                      <w:marTop w:val="0"/>
                      <w:marBottom w:val="0"/>
                      <w:divBdr>
                        <w:top w:val="single" w:sz="2" w:space="0" w:color="E3E3E3"/>
                        <w:left w:val="single" w:sz="2" w:space="0" w:color="E3E3E3"/>
                        <w:bottom w:val="single" w:sz="2" w:space="0" w:color="E3E3E3"/>
                        <w:right w:val="single" w:sz="2" w:space="0" w:color="E3E3E3"/>
                      </w:divBdr>
                      <w:divsChild>
                        <w:div w:id="2140605766">
                          <w:marLeft w:val="0"/>
                          <w:marRight w:val="0"/>
                          <w:marTop w:val="0"/>
                          <w:marBottom w:val="0"/>
                          <w:divBdr>
                            <w:top w:val="single" w:sz="2" w:space="0" w:color="E3E3E3"/>
                            <w:left w:val="single" w:sz="2" w:space="0" w:color="E3E3E3"/>
                            <w:bottom w:val="single" w:sz="2" w:space="0" w:color="E3E3E3"/>
                            <w:right w:val="single" w:sz="2" w:space="0" w:color="E3E3E3"/>
                          </w:divBdr>
                          <w:divsChild>
                            <w:div w:id="972907000">
                              <w:marLeft w:val="0"/>
                              <w:marRight w:val="0"/>
                              <w:marTop w:val="0"/>
                              <w:marBottom w:val="0"/>
                              <w:divBdr>
                                <w:top w:val="single" w:sz="2" w:space="0" w:color="E3E3E3"/>
                                <w:left w:val="single" w:sz="2" w:space="0" w:color="E3E3E3"/>
                                <w:bottom w:val="single" w:sz="2" w:space="0" w:color="E3E3E3"/>
                                <w:right w:val="single" w:sz="2" w:space="0" w:color="E3E3E3"/>
                              </w:divBdr>
                              <w:divsChild>
                                <w:div w:id="1868831447">
                                  <w:marLeft w:val="0"/>
                                  <w:marRight w:val="0"/>
                                  <w:marTop w:val="0"/>
                                  <w:marBottom w:val="0"/>
                                  <w:divBdr>
                                    <w:top w:val="single" w:sz="2" w:space="0" w:color="E3E3E3"/>
                                    <w:left w:val="single" w:sz="2" w:space="0" w:color="E3E3E3"/>
                                    <w:bottom w:val="single" w:sz="2" w:space="0" w:color="E3E3E3"/>
                                    <w:right w:val="single" w:sz="2" w:space="0" w:color="E3E3E3"/>
                                  </w:divBdr>
                                  <w:divsChild>
                                    <w:div w:id="2079859681">
                                      <w:marLeft w:val="0"/>
                                      <w:marRight w:val="0"/>
                                      <w:marTop w:val="0"/>
                                      <w:marBottom w:val="0"/>
                                      <w:divBdr>
                                        <w:top w:val="single" w:sz="2" w:space="2" w:color="E3E3E3"/>
                                        <w:left w:val="single" w:sz="2" w:space="0" w:color="E3E3E3"/>
                                        <w:bottom w:val="single" w:sz="2" w:space="0" w:color="E3E3E3"/>
                                        <w:right w:val="single" w:sz="2" w:space="0" w:color="E3E3E3"/>
                                      </w:divBdr>
                                      <w:divsChild>
                                        <w:div w:id="20622453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307129558">
      <w:bodyDiv w:val="1"/>
      <w:marLeft w:val="0"/>
      <w:marRight w:val="0"/>
      <w:marTop w:val="0"/>
      <w:marBottom w:val="0"/>
      <w:divBdr>
        <w:top w:val="none" w:sz="0" w:space="0" w:color="auto"/>
        <w:left w:val="none" w:sz="0" w:space="0" w:color="auto"/>
        <w:bottom w:val="none" w:sz="0" w:space="0" w:color="auto"/>
        <w:right w:val="none" w:sz="0" w:space="0" w:color="auto"/>
      </w:divBdr>
      <w:divsChild>
        <w:div w:id="1524053958">
          <w:marLeft w:val="0"/>
          <w:marRight w:val="0"/>
          <w:marTop w:val="0"/>
          <w:marBottom w:val="0"/>
          <w:divBdr>
            <w:top w:val="single" w:sz="2" w:space="0" w:color="E3E3E3"/>
            <w:left w:val="single" w:sz="2" w:space="0" w:color="E3E3E3"/>
            <w:bottom w:val="single" w:sz="2" w:space="0" w:color="E3E3E3"/>
            <w:right w:val="single" w:sz="2" w:space="0" w:color="E3E3E3"/>
          </w:divBdr>
          <w:divsChild>
            <w:div w:id="872811920">
              <w:marLeft w:val="0"/>
              <w:marRight w:val="0"/>
              <w:marTop w:val="0"/>
              <w:marBottom w:val="0"/>
              <w:divBdr>
                <w:top w:val="single" w:sz="2" w:space="0" w:color="E3E3E3"/>
                <w:left w:val="single" w:sz="2" w:space="0" w:color="E3E3E3"/>
                <w:bottom w:val="single" w:sz="2" w:space="0" w:color="E3E3E3"/>
                <w:right w:val="single" w:sz="2" w:space="0" w:color="E3E3E3"/>
              </w:divBdr>
              <w:divsChild>
                <w:div w:id="1360355509">
                  <w:marLeft w:val="0"/>
                  <w:marRight w:val="0"/>
                  <w:marTop w:val="0"/>
                  <w:marBottom w:val="0"/>
                  <w:divBdr>
                    <w:top w:val="single" w:sz="2" w:space="0" w:color="E3E3E3"/>
                    <w:left w:val="single" w:sz="2" w:space="0" w:color="E3E3E3"/>
                    <w:bottom w:val="single" w:sz="2" w:space="0" w:color="E3E3E3"/>
                    <w:right w:val="single" w:sz="2" w:space="0" w:color="E3E3E3"/>
                  </w:divBdr>
                  <w:divsChild>
                    <w:div w:id="1243180062">
                      <w:marLeft w:val="0"/>
                      <w:marRight w:val="0"/>
                      <w:marTop w:val="0"/>
                      <w:marBottom w:val="0"/>
                      <w:divBdr>
                        <w:top w:val="single" w:sz="2" w:space="0" w:color="E3E3E3"/>
                        <w:left w:val="single" w:sz="2" w:space="0" w:color="E3E3E3"/>
                        <w:bottom w:val="single" w:sz="2" w:space="0" w:color="E3E3E3"/>
                        <w:right w:val="single" w:sz="2" w:space="0" w:color="E3E3E3"/>
                      </w:divBdr>
                      <w:divsChild>
                        <w:div w:id="1782265468">
                          <w:marLeft w:val="0"/>
                          <w:marRight w:val="0"/>
                          <w:marTop w:val="0"/>
                          <w:marBottom w:val="0"/>
                          <w:divBdr>
                            <w:top w:val="single" w:sz="2" w:space="0" w:color="E3E3E3"/>
                            <w:left w:val="single" w:sz="2" w:space="0" w:color="E3E3E3"/>
                            <w:bottom w:val="single" w:sz="2" w:space="0" w:color="E3E3E3"/>
                            <w:right w:val="single" w:sz="2" w:space="0" w:color="E3E3E3"/>
                          </w:divBdr>
                          <w:divsChild>
                            <w:div w:id="537549086">
                              <w:marLeft w:val="0"/>
                              <w:marRight w:val="0"/>
                              <w:marTop w:val="0"/>
                              <w:marBottom w:val="0"/>
                              <w:divBdr>
                                <w:top w:val="single" w:sz="2" w:space="0" w:color="E3E3E3"/>
                                <w:left w:val="single" w:sz="2" w:space="0" w:color="E3E3E3"/>
                                <w:bottom w:val="single" w:sz="2" w:space="0" w:color="E3E3E3"/>
                                <w:right w:val="single" w:sz="2" w:space="0" w:color="E3E3E3"/>
                              </w:divBdr>
                              <w:divsChild>
                                <w:div w:id="1883249200">
                                  <w:marLeft w:val="0"/>
                                  <w:marRight w:val="0"/>
                                  <w:marTop w:val="100"/>
                                  <w:marBottom w:val="100"/>
                                  <w:divBdr>
                                    <w:top w:val="single" w:sz="2" w:space="0" w:color="E3E3E3"/>
                                    <w:left w:val="single" w:sz="2" w:space="0" w:color="E3E3E3"/>
                                    <w:bottom w:val="single" w:sz="2" w:space="0" w:color="E3E3E3"/>
                                    <w:right w:val="single" w:sz="2" w:space="0" w:color="E3E3E3"/>
                                  </w:divBdr>
                                  <w:divsChild>
                                    <w:div w:id="1272317655">
                                      <w:marLeft w:val="0"/>
                                      <w:marRight w:val="0"/>
                                      <w:marTop w:val="0"/>
                                      <w:marBottom w:val="0"/>
                                      <w:divBdr>
                                        <w:top w:val="single" w:sz="2" w:space="0" w:color="E3E3E3"/>
                                        <w:left w:val="single" w:sz="2" w:space="0" w:color="E3E3E3"/>
                                        <w:bottom w:val="single" w:sz="2" w:space="0" w:color="E3E3E3"/>
                                        <w:right w:val="single" w:sz="2" w:space="0" w:color="E3E3E3"/>
                                      </w:divBdr>
                                      <w:divsChild>
                                        <w:div w:id="1249774815">
                                          <w:marLeft w:val="0"/>
                                          <w:marRight w:val="0"/>
                                          <w:marTop w:val="0"/>
                                          <w:marBottom w:val="0"/>
                                          <w:divBdr>
                                            <w:top w:val="single" w:sz="2" w:space="0" w:color="E3E3E3"/>
                                            <w:left w:val="single" w:sz="2" w:space="0" w:color="E3E3E3"/>
                                            <w:bottom w:val="single" w:sz="2" w:space="0" w:color="E3E3E3"/>
                                            <w:right w:val="single" w:sz="2" w:space="0" w:color="E3E3E3"/>
                                          </w:divBdr>
                                          <w:divsChild>
                                            <w:div w:id="1075325583">
                                              <w:marLeft w:val="0"/>
                                              <w:marRight w:val="0"/>
                                              <w:marTop w:val="0"/>
                                              <w:marBottom w:val="0"/>
                                              <w:divBdr>
                                                <w:top w:val="single" w:sz="2" w:space="0" w:color="E3E3E3"/>
                                                <w:left w:val="single" w:sz="2" w:space="0" w:color="E3E3E3"/>
                                                <w:bottom w:val="single" w:sz="2" w:space="0" w:color="E3E3E3"/>
                                                <w:right w:val="single" w:sz="2" w:space="0" w:color="E3E3E3"/>
                                              </w:divBdr>
                                              <w:divsChild>
                                                <w:div w:id="53823041">
                                                  <w:marLeft w:val="0"/>
                                                  <w:marRight w:val="0"/>
                                                  <w:marTop w:val="0"/>
                                                  <w:marBottom w:val="0"/>
                                                  <w:divBdr>
                                                    <w:top w:val="single" w:sz="2" w:space="0" w:color="E3E3E3"/>
                                                    <w:left w:val="single" w:sz="2" w:space="0" w:color="E3E3E3"/>
                                                    <w:bottom w:val="single" w:sz="2" w:space="0" w:color="E3E3E3"/>
                                                    <w:right w:val="single" w:sz="2" w:space="0" w:color="E3E3E3"/>
                                                  </w:divBdr>
                                                  <w:divsChild>
                                                    <w:div w:id="865409259">
                                                      <w:marLeft w:val="0"/>
                                                      <w:marRight w:val="0"/>
                                                      <w:marTop w:val="0"/>
                                                      <w:marBottom w:val="0"/>
                                                      <w:divBdr>
                                                        <w:top w:val="single" w:sz="2" w:space="0" w:color="E3E3E3"/>
                                                        <w:left w:val="single" w:sz="2" w:space="0" w:color="E3E3E3"/>
                                                        <w:bottom w:val="single" w:sz="2" w:space="0" w:color="E3E3E3"/>
                                                        <w:right w:val="single" w:sz="2" w:space="0" w:color="E3E3E3"/>
                                                      </w:divBdr>
                                                      <w:divsChild>
                                                        <w:div w:id="1209608917">
                                                          <w:marLeft w:val="0"/>
                                                          <w:marRight w:val="0"/>
                                                          <w:marTop w:val="0"/>
                                                          <w:marBottom w:val="0"/>
                                                          <w:divBdr>
                                                            <w:top w:val="single" w:sz="2" w:space="2" w:color="E3E3E3"/>
                                                            <w:left w:val="single" w:sz="2" w:space="0" w:color="E3E3E3"/>
                                                            <w:bottom w:val="single" w:sz="2" w:space="0" w:color="E3E3E3"/>
                                                            <w:right w:val="single" w:sz="2" w:space="0" w:color="E3E3E3"/>
                                                          </w:divBdr>
                                                          <w:divsChild>
                                                            <w:div w:id="938830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413048034">
          <w:marLeft w:val="0"/>
          <w:marRight w:val="0"/>
          <w:marTop w:val="0"/>
          <w:marBottom w:val="0"/>
          <w:divBdr>
            <w:top w:val="none" w:sz="0" w:space="0" w:color="auto"/>
            <w:left w:val="none" w:sz="0" w:space="0" w:color="auto"/>
            <w:bottom w:val="none" w:sz="0" w:space="0" w:color="auto"/>
            <w:right w:val="none" w:sz="0" w:space="0" w:color="auto"/>
          </w:divBdr>
          <w:divsChild>
            <w:div w:id="1846356887">
              <w:marLeft w:val="0"/>
              <w:marRight w:val="0"/>
              <w:marTop w:val="100"/>
              <w:marBottom w:val="100"/>
              <w:divBdr>
                <w:top w:val="single" w:sz="2" w:space="0" w:color="E3E3E3"/>
                <w:left w:val="single" w:sz="2" w:space="0" w:color="E3E3E3"/>
                <w:bottom w:val="single" w:sz="2" w:space="0" w:color="E3E3E3"/>
                <w:right w:val="single" w:sz="2" w:space="0" w:color="E3E3E3"/>
              </w:divBdr>
              <w:divsChild>
                <w:div w:id="21392537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24309489">
      <w:bodyDiv w:val="1"/>
      <w:marLeft w:val="0"/>
      <w:marRight w:val="0"/>
      <w:marTop w:val="0"/>
      <w:marBottom w:val="0"/>
      <w:divBdr>
        <w:top w:val="none" w:sz="0" w:space="0" w:color="auto"/>
        <w:left w:val="none" w:sz="0" w:space="0" w:color="auto"/>
        <w:bottom w:val="none" w:sz="0" w:space="0" w:color="auto"/>
        <w:right w:val="none" w:sz="0" w:space="0" w:color="auto"/>
      </w:divBdr>
    </w:div>
    <w:div w:id="473569008">
      <w:bodyDiv w:val="1"/>
      <w:marLeft w:val="0"/>
      <w:marRight w:val="0"/>
      <w:marTop w:val="0"/>
      <w:marBottom w:val="0"/>
      <w:divBdr>
        <w:top w:val="none" w:sz="0" w:space="0" w:color="auto"/>
        <w:left w:val="none" w:sz="0" w:space="0" w:color="auto"/>
        <w:bottom w:val="none" w:sz="0" w:space="0" w:color="auto"/>
        <w:right w:val="none" w:sz="0" w:space="0" w:color="auto"/>
      </w:divBdr>
    </w:div>
    <w:div w:id="503131761">
      <w:bodyDiv w:val="1"/>
      <w:marLeft w:val="0"/>
      <w:marRight w:val="0"/>
      <w:marTop w:val="0"/>
      <w:marBottom w:val="0"/>
      <w:divBdr>
        <w:top w:val="none" w:sz="0" w:space="0" w:color="auto"/>
        <w:left w:val="none" w:sz="0" w:space="0" w:color="auto"/>
        <w:bottom w:val="none" w:sz="0" w:space="0" w:color="auto"/>
        <w:right w:val="none" w:sz="0" w:space="0" w:color="auto"/>
      </w:divBdr>
    </w:div>
    <w:div w:id="657923744">
      <w:bodyDiv w:val="1"/>
      <w:marLeft w:val="0"/>
      <w:marRight w:val="0"/>
      <w:marTop w:val="0"/>
      <w:marBottom w:val="0"/>
      <w:divBdr>
        <w:top w:val="none" w:sz="0" w:space="0" w:color="auto"/>
        <w:left w:val="none" w:sz="0" w:space="0" w:color="auto"/>
        <w:bottom w:val="none" w:sz="0" w:space="0" w:color="auto"/>
        <w:right w:val="none" w:sz="0" w:space="0" w:color="auto"/>
      </w:divBdr>
      <w:divsChild>
        <w:div w:id="383603671">
          <w:marLeft w:val="0"/>
          <w:marRight w:val="0"/>
          <w:marTop w:val="0"/>
          <w:marBottom w:val="0"/>
          <w:divBdr>
            <w:top w:val="single" w:sz="2" w:space="0" w:color="E3E3E3"/>
            <w:left w:val="single" w:sz="2" w:space="0" w:color="E3E3E3"/>
            <w:bottom w:val="single" w:sz="2" w:space="0" w:color="E3E3E3"/>
            <w:right w:val="single" w:sz="2" w:space="0" w:color="E3E3E3"/>
          </w:divBdr>
          <w:divsChild>
            <w:div w:id="170722825">
              <w:marLeft w:val="0"/>
              <w:marRight w:val="0"/>
              <w:marTop w:val="0"/>
              <w:marBottom w:val="0"/>
              <w:divBdr>
                <w:top w:val="single" w:sz="2" w:space="0" w:color="E3E3E3"/>
                <w:left w:val="single" w:sz="2" w:space="0" w:color="E3E3E3"/>
                <w:bottom w:val="single" w:sz="2" w:space="0" w:color="E3E3E3"/>
                <w:right w:val="single" w:sz="2" w:space="0" w:color="E3E3E3"/>
              </w:divBdr>
              <w:divsChild>
                <w:div w:id="1356611999">
                  <w:marLeft w:val="0"/>
                  <w:marRight w:val="0"/>
                  <w:marTop w:val="0"/>
                  <w:marBottom w:val="0"/>
                  <w:divBdr>
                    <w:top w:val="single" w:sz="2" w:space="0" w:color="E3E3E3"/>
                    <w:left w:val="single" w:sz="2" w:space="0" w:color="E3E3E3"/>
                    <w:bottom w:val="single" w:sz="2" w:space="0" w:color="E3E3E3"/>
                    <w:right w:val="single" w:sz="2" w:space="0" w:color="E3E3E3"/>
                  </w:divBdr>
                  <w:divsChild>
                    <w:div w:id="1199390036">
                      <w:marLeft w:val="0"/>
                      <w:marRight w:val="0"/>
                      <w:marTop w:val="0"/>
                      <w:marBottom w:val="0"/>
                      <w:divBdr>
                        <w:top w:val="single" w:sz="2" w:space="0" w:color="E3E3E3"/>
                        <w:left w:val="single" w:sz="2" w:space="0" w:color="E3E3E3"/>
                        <w:bottom w:val="single" w:sz="2" w:space="0" w:color="E3E3E3"/>
                        <w:right w:val="single" w:sz="2" w:space="0" w:color="E3E3E3"/>
                      </w:divBdr>
                      <w:divsChild>
                        <w:div w:id="1599171877">
                          <w:marLeft w:val="0"/>
                          <w:marRight w:val="0"/>
                          <w:marTop w:val="0"/>
                          <w:marBottom w:val="0"/>
                          <w:divBdr>
                            <w:top w:val="single" w:sz="2" w:space="0" w:color="E3E3E3"/>
                            <w:left w:val="single" w:sz="2" w:space="0" w:color="E3E3E3"/>
                            <w:bottom w:val="single" w:sz="2" w:space="0" w:color="E3E3E3"/>
                            <w:right w:val="single" w:sz="2" w:space="0" w:color="E3E3E3"/>
                          </w:divBdr>
                          <w:divsChild>
                            <w:div w:id="2136824420">
                              <w:marLeft w:val="0"/>
                              <w:marRight w:val="0"/>
                              <w:marTop w:val="0"/>
                              <w:marBottom w:val="0"/>
                              <w:divBdr>
                                <w:top w:val="single" w:sz="2" w:space="0" w:color="E3E3E3"/>
                                <w:left w:val="single" w:sz="2" w:space="0" w:color="E3E3E3"/>
                                <w:bottom w:val="single" w:sz="2" w:space="0" w:color="E3E3E3"/>
                                <w:right w:val="single" w:sz="2" w:space="0" w:color="E3E3E3"/>
                              </w:divBdr>
                              <w:divsChild>
                                <w:div w:id="2000814767">
                                  <w:marLeft w:val="0"/>
                                  <w:marRight w:val="0"/>
                                  <w:marTop w:val="100"/>
                                  <w:marBottom w:val="100"/>
                                  <w:divBdr>
                                    <w:top w:val="single" w:sz="2" w:space="0" w:color="E3E3E3"/>
                                    <w:left w:val="single" w:sz="2" w:space="0" w:color="E3E3E3"/>
                                    <w:bottom w:val="single" w:sz="2" w:space="0" w:color="E3E3E3"/>
                                    <w:right w:val="single" w:sz="2" w:space="0" w:color="E3E3E3"/>
                                  </w:divBdr>
                                  <w:divsChild>
                                    <w:div w:id="1441532518">
                                      <w:marLeft w:val="0"/>
                                      <w:marRight w:val="0"/>
                                      <w:marTop w:val="0"/>
                                      <w:marBottom w:val="0"/>
                                      <w:divBdr>
                                        <w:top w:val="single" w:sz="2" w:space="0" w:color="E3E3E3"/>
                                        <w:left w:val="single" w:sz="2" w:space="0" w:color="E3E3E3"/>
                                        <w:bottom w:val="single" w:sz="2" w:space="0" w:color="E3E3E3"/>
                                        <w:right w:val="single" w:sz="2" w:space="0" w:color="E3E3E3"/>
                                      </w:divBdr>
                                      <w:divsChild>
                                        <w:div w:id="46414174">
                                          <w:marLeft w:val="0"/>
                                          <w:marRight w:val="0"/>
                                          <w:marTop w:val="0"/>
                                          <w:marBottom w:val="0"/>
                                          <w:divBdr>
                                            <w:top w:val="single" w:sz="2" w:space="0" w:color="E3E3E3"/>
                                            <w:left w:val="single" w:sz="2" w:space="0" w:color="E3E3E3"/>
                                            <w:bottom w:val="single" w:sz="2" w:space="0" w:color="E3E3E3"/>
                                            <w:right w:val="single" w:sz="2" w:space="0" w:color="E3E3E3"/>
                                          </w:divBdr>
                                          <w:divsChild>
                                            <w:div w:id="1316254314">
                                              <w:marLeft w:val="0"/>
                                              <w:marRight w:val="0"/>
                                              <w:marTop w:val="0"/>
                                              <w:marBottom w:val="0"/>
                                              <w:divBdr>
                                                <w:top w:val="single" w:sz="2" w:space="0" w:color="E3E3E3"/>
                                                <w:left w:val="single" w:sz="2" w:space="0" w:color="E3E3E3"/>
                                                <w:bottom w:val="single" w:sz="2" w:space="0" w:color="E3E3E3"/>
                                                <w:right w:val="single" w:sz="2" w:space="0" w:color="E3E3E3"/>
                                              </w:divBdr>
                                              <w:divsChild>
                                                <w:div w:id="1897206520">
                                                  <w:marLeft w:val="0"/>
                                                  <w:marRight w:val="0"/>
                                                  <w:marTop w:val="0"/>
                                                  <w:marBottom w:val="0"/>
                                                  <w:divBdr>
                                                    <w:top w:val="single" w:sz="2" w:space="0" w:color="E3E3E3"/>
                                                    <w:left w:val="single" w:sz="2" w:space="0" w:color="E3E3E3"/>
                                                    <w:bottom w:val="single" w:sz="2" w:space="0" w:color="E3E3E3"/>
                                                    <w:right w:val="single" w:sz="2" w:space="0" w:color="E3E3E3"/>
                                                  </w:divBdr>
                                                  <w:divsChild>
                                                    <w:div w:id="1091045363">
                                                      <w:marLeft w:val="0"/>
                                                      <w:marRight w:val="0"/>
                                                      <w:marTop w:val="0"/>
                                                      <w:marBottom w:val="0"/>
                                                      <w:divBdr>
                                                        <w:top w:val="single" w:sz="2" w:space="0" w:color="E3E3E3"/>
                                                        <w:left w:val="single" w:sz="2" w:space="0" w:color="E3E3E3"/>
                                                        <w:bottom w:val="single" w:sz="2" w:space="0" w:color="E3E3E3"/>
                                                        <w:right w:val="single" w:sz="2" w:space="0" w:color="E3E3E3"/>
                                                      </w:divBdr>
                                                      <w:divsChild>
                                                        <w:div w:id="2115128390">
                                                          <w:marLeft w:val="0"/>
                                                          <w:marRight w:val="0"/>
                                                          <w:marTop w:val="0"/>
                                                          <w:marBottom w:val="0"/>
                                                          <w:divBdr>
                                                            <w:top w:val="single" w:sz="2" w:space="2" w:color="E3E3E3"/>
                                                            <w:left w:val="single" w:sz="2" w:space="0" w:color="E3E3E3"/>
                                                            <w:bottom w:val="single" w:sz="2" w:space="0" w:color="E3E3E3"/>
                                                            <w:right w:val="single" w:sz="2" w:space="0" w:color="E3E3E3"/>
                                                          </w:divBdr>
                                                          <w:divsChild>
                                                            <w:div w:id="21393723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424885760">
          <w:marLeft w:val="0"/>
          <w:marRight w:val="0"/>
          <w:marTop w:val="0"/>
          <w:marBottom w:val="0"/>
          <w:divBdr>
            <w:top w:val="none" w:sz="0" w:space="0" w:color="auto"/>
            <w:left w:val="none" w:sz="0" w:space="0" w:color="auto"/>
            <w:bottom w:val="none" w:sz="0" w:space="0" w:color="auto"/>
            <w:right w:val="none" w:sz="0" w:space="0" w:color="auto"/>
          </w:divBdr>
          <w:divsChild>
            <w:div w:id="1053845105">
              <w:marLeft w:val="0"/>
              <w:marRight w:val="0"/>
              <w:marTop w:val="100"/>
              <w:marBottom w:val="100"/>
              <w:divBdr>
                <w:top w:val="single" w:sz="2" w:space="0" w:color="E3E3E3"/>
                <w:left w:val="single" w:sz="2" w:space="0" w:color="E3E3E3"/>
                <w:bottom w:val="single" w:sz="2" w:space="0" w:color="E3E3E3"/>
                <w:right w:val="single" w:sz="2" w:space="0" w:color="E3E3E3"/>
              </w:divBdr>
              <w:divsChild>
                <w:div w:id="19947489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66059329">
      <w:bodyDiv w:val="1"/>
      <w:marLeft w:val="0"/>
      <w:marRight w:val="0"/>
      <w:marTop w:val="0"/>
      <w:marBottom w:val="0"/>
      <w:divBdr>
        <w:top w:val="none" w:sz="0" w:space="0" w:color="auto"/>
        <w:left w:val="none" w:sz="0" w:space="0" w:color="auto"/>
        <w:bottom w:val="none" w:sz="0" w:space="0" w:color="auto"/>
        <w:right w:val="none" w:sz="0" w:space="0" w:color="auto"/>
      </w:divBdr>
    </w:div>
    <w:div w:id="737478887">
      <w:bodyDiv w:val="1"/>
      <w:marLeft w:val="0"/>
      <w:marRight w:val="0"/>
      <w:marTop w:val="0"/>
      <w:marBottom w:val="0"/>
      <w:divBdr>
        <w:top w:val="none" w:sz="0" w:space="0" w:color="auto"/>
        <w:left w:val="none" w:sz="0" w:space="0" w:color="auto"/>
        <w:bottom w:val="none" w:sz="0" w:space="0" w:color="auto"/>
        <w:right w:val="none" w:sz="0" w:space="0" w:color="auto"/>
      </w:divBdr>
    </w:div>
    <w:div w:id="897863285">
      <w:bodyDiv w:val="1"/>
      <w:marLeft w:val="0"/>
      <w:marRight w:val="0"/>
      <w:marTop w:val="0"/>
      <w:marBottom w:val="0"/>
      <w:divBdr>
        <w:top w:val="none" w:sz="0" w:space="0" w:color="auto"/>
        <w:left w:val="none" w:sz="0" w:space="0" w:color="auto"/>
        <w:bottom w:val="none" w:sz="0" w:space="0" w:color="auto"/>
        <w:right w:val="none" w:sz="0" w:space="0" w:color="auto"/>
      </w:divBdr>
    </w:div>
    <w:div w:id="960067038">
      <w:bodyDiv w:val="1"/>
      <w:marLeft w:val="0"/>
      <w:marRight w:val="0"/>
      <w:marTop w:val="0"/>
      <w:marBottom w:val="0"/>
      <w:divBdr>
        <w:top w:val="none" w:sz="0" w:space="0" w:color="auto"/>
        <w:left w:val="none" w:sz="0" w:space="0" w:color="auto"/>
        <w:bottom w:val="none" w:sz="0" w:space="0" w:color="auto"/>
        <w:right w:val="none" w:sz="0" w:space="0" w:color="auto"/>
      </w:divBdr>
    </w:div>
    <w:div w:id="1125154553">
      <w:bodyDiv w:val="1"/>
      <w:marLeft w:val="0"/>
      <w:marRight w:val="0"/>
      <w:marTop w:val="0"/>
      <w:marBottom w:val="0"/>
      <w:divBdr>
        <w:top w:val="none" w:sz="0" w:space="0" w:color="auto"/>
        <w:left w:val="none" w:sz="0" w:space="0" w:color="auto"/>
        <w:bottom w:val="none" w:sz="0" w:space="0" w:color="auto"/>
        <w:right w:val="none" w:sz="0" w:space="0" w:color="auto"/>
      </w:divBdr>
      <w:divsChild>
        <w:div w:id="2120563706">
          <w:marLeft w:val="0"/>
          <w:marRight w:val="0"/>
          <w:marTop w:val="0"/>
          <w:marBottom w:val="0"/>
          <w:divBdr>
            <w:top w:val="none" w:sz="0" w:space="0" w:color="auto"/>
            <w:left w:val="none" w:sz="0" w:space="0" w:color="auto"/>
            <w:bottom w:val="none" w:sz="0" w:space="0" w:color="auto"/>
            <w:right w:val="none" w:sz="0" w:space="0" w:color="auto"/>
          </w:divBdr>
          <w:divsChild>
            <w:div w:id="742146899">
              <w:marLeft w:val="0"/>
              <w:marRight w:val="0"/>
              <w:marTop w:val="0"/>
              <w:marBottom w:val="0"/>
              <w:divBdr>
                <w:top w:val="none" w:sz="0" w:space="0" w:color="auto"/>
                <w:left w:val="none" w:sz="0" w:space="0" w:color="auto"/>
                <w:bottom w:val="none" w:sz="0" w:space="0" w:color="auto"/>
                <w:right w:val="none" w:sz="0" w:space="0" w:color="auto"/>
              </w:divBdr>
              <w:divsChild>
                <w:div w:id="1634941066">
                  <w:marLeft w:val="0"/>
                  <w:marRight w:val="0"/>
                  <w:marTop w:val="0"/>
                  <w:marBottom w:val="0"/>
                  <w:divBdr>
                    <w:top w:val="none" w:sz="0" w:space="0" w:color="auto"/>
                    <w:left w:val="none" w:sz="0" w:space="0" w:color="auto"/>
                    <w:bottom w:val="none" w:sz="0" w:space="0" w:color="auto"/>
                    <w:right w:val="none" w:sz="0" w:space="0" w:color="auto"/>
                  </w:divBdr>
                </w:div>
              </w:divsChild>
            </w:div>
            <w:div w:id="1844540864">
              <w:marLeft w:val="0"/>
              <w:marRight w:val="0"/>
              <w:marTop w:val="0"/>
              <w:marBottom w:val="0"/>
              <w:divBdr>
                <w:top w:val="none" w:sz="0" w:space="0" w:color="auto"/>
                <w:left w:val="none" w:sz="0" w:space="0" w:color="auto"/>
                <w:bottom w:val="none" w:sz="0" w:space="0" w:color="auto"/>
                <w:right w:val="none" w:sz="0" w:space="0" w:color="auto"/>
              </w:divBdr>
            </w:div>
          </w:divsChild>
        </w:div>
        <w:div w:id="518740957">
          <w:marLeft w:val="0"/>
          <w:marRight w:val="0"/>
          <w:marTop w:val="0"/>
          <w:marBottom w:val="0"/>
          <w:divBdr>
            <w:top w:val="none" w:sz="0" w:space="0" w:color="auto"/>
            <w:left w:val="none" w:sz="0" w:space="0" w:color="auto"/>
            <w:bottom w:val="none" w:sz="0" w:space="0" w:color="auto"/>
            <w:right w:val="none" w:sz="0" w:space="0" w:color="auto"/>
          </w:divBdr>
          <w:divsChild>
            <w:div w:id="1991859344">
              <w:marLeft w:val="0"/>
              <w:marRight w:val="0"/>
              <w:marTop w:val="0"/>
              <w:marBottom w:val="0"/>
              <w:divBdr>
                <w:top w:val="none" w:sz="0" w:space="0" w:color="auto"/>
                <w:left w:val="none" w:sz="0" w:space="0" w:color="auto"/>
                <w:bottom w:val="none" w:sz="0" w:space="0" w:color="auto"/>
                <w:right w:val="none" w:sz="0" w:space="0" w:color="auto"/>
              </w:divBdr>
              <w:divsChild>
                <w:div w:id="2013602037">
                  <w:marLeft w:val="0"/>
                  <w:marRight w:val="0"/>
                  <w:marTop w:val="0"/>
                  <w:marBottom w:val="0"/>
                  <w:divBdr>
                    <w:top w:val="none" w:sz="0" w:space="0" w:color="auto"/>
                    <w:left w:val="none" w:sz="0" w:space="0" w:color="auto"/>
                    <w:bottom w:val="none" w:sz="0" w:space="0" w:color="auto"/>
                    <w:right w:val="none" w:sz="0" w:space="0" w:color="auto"/>
                  </w:divBdr>
                  <w:divsChild>
                    <w:div w:id="69471586">
                      <w:marLeft w:val="0"/>
                      <w:marRight w:val="0"/>
                      <w:marTop w:val="0"/>
                      <w:marBottom w:val="0"/>
                      <w:divBdr>
                        <w:top w:val="none" w:sz="0" w:space="0" w:color="auto"/>
                        <w:left w:val="none" w:sz="0" w:space="0" w:color="auto"/>
                        <w:bottom w:val="none" w:sz="0" w:space="0" w:color="auto"/>
                        <w:right w:val="none" w:sz="0" w:space="0" w:color="auto"/>
                      </w:divBdr>
                      <w:divsChild>
                        <w:div w:id="2031711950">
                          <w:marLeft w:val="0"/>
                          <w:marRight w:val="0"/>
                          <w:marTop w:val="0"/>
                          <w:marBottom w:val="0"/>
                          <w:divBdr>
                            <w:top w:val="none" w:sz="0" w:space="0" w:color="auto"/>
                            <w:left w:val="none" w:sz="0" w:space="0" w:color="auto"/>
                            <w:bottom w:val="none" w:sz="0" w:space="0" w:color="auto"/>
                            <w:right w:val="none" w:sz="0" w:space="0" w:color="auto"/>
                          </w:divBdr>
                        </w:div>
                        <w:div w:id="2057970420">
                          <w:marLeft w:val="0"/>
                          <w:marRight w:val="0"/>
                          <w:marTop w:val="0"/>
                          <w:marBottom w:val="0"/>
                          <w:divBdr>
                            <w:top w:val="none" w:sz="0" w:space="0" w:color="auto"/>
                            <w:left w:val="none" w:sz="0" w:space="0" w:color="auto"/>
                            <w:bottom w:val="none" w:sz="0" w:space="0" w:color="auto"/>
                            <w:right w:val="none" w:sz="0" w:space="0" w:color="auto"/>
                          </w:divBdr>
                          <w:divsChild>
                            <w:div w:id="183398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94195">
                  <w:marLeft w:val="0"/>
                  <w:marRight w:val="0"/>
                  <w:marTop w:val="0"/>
                  <w:marBottom w:val="0"/>
                  <w:divBdr>
                    <w:top w:val="none" w:sz="0" w:space="0" w:color="auto"/>
                    <w:left w:val="none" w:sz="0" w:space="0" w:color="auto"/>
                    <w:bottom w:val="none" w:sz="0" w:space="0" w:color="auto"/>
                    <w:right w:val="none" w:sz="0" w:space="0" w:color="auto"/>
                  </w:divBdr>
                  <w:divsChild>
                    <w:div w:id="614480526">
                      <w:marLeft w:val="0"/>
                      <w:marRight w:val="0"/>
                      <w:marTop w:val="0"/>
                      <w:marBottom w:val="0"/>
                      <w:divBdr>
                        <w:top w:val="none" w:sz="0" w:space="0" w:color="auto"/>
                        <w:left w:val="none" w:sz="0" w:space="0" w:color="auto"/>
                        <w:bottom w:val="none" w:sz="0" w:space="0" w:color="auto"/>
                        <w:right w:val="none" w:sz="0" w:space="0" w:color="auto"/>
                      </w:divBdr>
                      <w:divsChild>
                        <w:div w:id="189488169">
                          <w:marLeft w:val="0"/>
                          <w:marRight w:val="0"/>
                          <w:marTop w:val="0"/>
                          <w:marBottom w:val="0"/>
                          <w:divBdr>
                            <w:top w:val="none" w:sz="0" w:space="0" w:color="auto"/>
                            <w:left w:val="none" w:sz="0" w:space="0" w:color="auto"/>
                            <w:bottom w:val="none" w:sz="0" w:space="0" w:color="auto"/>
                            <w:right w:val="none" w:sz="0" w:space="0" w:color="auto"/>
                          </w:divBdr>
                          <w:divsChild>
                            <w:div w:id="401023332">
                              <w:marLeft w:val="0"/>
                              <w:marRight w:val="0"/>
                              <w:marTop w:val="0"/>
                              <w:marBottom w:val="0"/>
                              <w:divBdr>
                                <w:top w:val="none" w:sz="0" w:space="0" w:color="auto"/>
                                <w:left w:val="none" w:sz="0" w:space="0" w:color="auto"/>
                                <w:bottom w:val="none" w:sz="0" w:space="0" w:color="auto"/>
                                <w:right w:val="none" w:sz="0" w:space="0" w:color="auto"/>
                              </w:divBdr>
                              <w:divsChild>
                                <w:div w:id="920992849">
                                  <w:marLeft w:val="0"/>
                                  <w:marRight w:val="0"/>
                                  <w:marTop w:val="0"/>
                                  <w:marBottom w:val="0"/>
                                  <w:divBdr>
                                    <w:top w:val="none" w:sz="0" w:space="0" w:color="auto"/>
                                    <w:left w:val="none" w:sz="0" w:space="0" w:color="auto"/>
                                    <w:bottom w:val="none" w:sz="0" w:space="0" w:color="auto"/>
                                    <w:right w:val="none" w:sz="0" w:space="0" w:color="auto"/>
                                  </w:divBdr>
                                  <w:divsChild>
                                    <w:div w:id="1465153921">
                                      <w:marLeft w:val="0"/>
                                      <w:marRight w:val="0"/>
                                      <w:marTop w:val="0"/>
                                      <w:marBottom w:val="0"/>
                                      <w:divBdr>
                                        <w:top w:val="none" w:sz="0" w:space="0" w:color="auto"/>
                                        <w:left w:val="none" w:sz="0" w:space="0" w:color="auto"/>
                                        <w:bottom w:val="none" w:sz="0" w:space="0" w:color="auto"/>
                                        <w:right w:val="none" w:sz="0" w:space="0" w:color="auto"/>
                                      </w:divBdr>
                                    </w:div>
                                    <w:div w:id="19189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569652">
                      <w:marLeft w:val="0"/>
                      <w:marRight w:val="0"/>
                      <w:marTop w:val="0"/>
                      <w:marBottom w:val="0"/>
                      <w:divBdr>
                        <w:top w:val="none" w:sz="0" w:space="0" w:color="auto"/>
                        <w:left w:val="none" w:sz="0" w:space="0" w:color="auto"/>
                        <w:bottom w:val="none" w:sz="0" w:space="0" w:color="auto"/>
                        <w:right w:val="none" w:sz="0" w:space="0" w:color="auto"/>
                      </w:divBdr>
                      <w:divsChild>
                        <w:div w:id="1036540842">
                          <w:marLeft w:val="0"/>
                          <w:marRight w:val="0"/>
                          <w:marTop w:val="0"/>
                          <w:marBottom w:val="0"/>
                          <w:divBdr>
                            <w:top w:val="none" w:sz="0" w:space="0" w:color="auto"/>
                            <w:left w:val="none" w:sz="0" w:space="0" w:color="auto"/>
                            <w:bottom w:val="none" w:sz="0" w:space="0" w:color="auto"/>
                            <w:right w:val="none" w:sz="0" w:space="0" w:color="auto"/>
                          </w:divBdr>
                          <w:divsChild>
                            <w:div w:id="134061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667205">
      <w:bodyDiv w:val="1"/>
      <w:marLeft w:val="0"/>
      <w:marRight w:val="0"/>
      <w:marTop w:val="0"/>
      <w:marBottom w:val="0"/>
      <w:divBdr>
        <w:top w:val="none" w:sz="0" w:space="0" w:color="auto"/>
        <w:left w:val="none" w:sz="0" w:space="0" w:color="auto"/>
        <w:bottom w:val="none" w:sz="0" w:space="0" w:color="auto"/>
        <w:right w:val="none" w:sz="0" w:space="0" w:color="auto"/>
      </w:divBdr>
    </w:div>
    <w:div w:id="1413355721">
      <w:bodyDiv w:val="1"/>
      <w:marLeft w:val="0"/>
      <w:marRight w:val="0"/>
      <w:marTop w:val="0"/>
      <w:marBottom w:val="0"/>
      <w:divBdr>
        <w:top w:val="none" w:sz="0" w:space="0" w:color="auto"/>
        <w:left w:val="none" w:sz="0" w:space="0" w:color="auto"/>
        <w:bottom w:val="none" w:sz="0" w:space="0" w:color="auto"/>
        <w:right w:val="none" w:sz="0" w:space="0" w:color="auto"/>
      </w:divBdr>
    </w:div>
    <w:div w:id="1466772806">
      <w:bodyDiv w:val="1"/>
      <w:marLeft w:val="0"/>
      <w:marRight w:val="0"/>
      <w:marTop w:val="0"/>
      <w:marBottom w:val="0"/>
      <w:divBdr>
        <w:top w:val="none" w:sz="0" w:space="0" w:color="auto"/>
        <w:left w:val="none" w:sz="0" w:space="0" w:color="auto"/>
        <w:bottom w:val="none" w:sz="0" w:space="0" w:color="auto"/>
        <w:right w:val="none" w:sz="0" w:space="0" w:color="auto"/>
      </w:divBdr>
    </w:div>
    <w:div w:id="1524783464">
      <w:bodyDiv w:val="1"/>
      <w:marLeft w:val="0"/>
      <w:marRight w:val="0"/>
      <w:marTop w:val="0"/>
      <w:marBottom w:val="0"/>
      <w:divBdr>
        <w:top w:val="none" w:sz="0" w:space="0" w:color="auto"/>
        <w:left w:val="none" w:sz="0" w:space="0" w:color="auto"/>
        <w:bottom w:val="none" w:sz="0" w:space="0" w:color="auto"/>
        <w:right w:val="none" w:sz="0" w:space="0" w:color="auto"/>
      </w:divBdr>
    </w:div>
    <w:div w:id="1823348550">
      <w:bodyDiv w:val="1"/>
      <w:marLeft w:val="0"/>
      <w:marRight w:val="0"/>
      <w:marTop w:val="0"/>
      <w:marBottom w:val="0"/>
      <w:divBdr>
        <w:top w:val="none" w:sz="0" w:space="0" w:color="auto"/>
        <w:left w:val="none" w:sz="0" w:space="0" w:color="auto"/>
        <w:bottom w:val="none" w:sz="0" w:space="0" w:color="auto"/>
        <w:right w:val="none" w:sz="0" w:space="0" w:color="auto"/>
      </w:divBdr>
      <w:divsChild>
        <w:div w:id="1356269399">
          <w:marLeft w:val="0"/>
          <w:marRight w:val="0"/>
          <w:marTop w:val="0"/>
          <w:marBottom w:val="0"/>
          <w:divBdr>
            <w:top w:val="none" w:sz="0" w:space="0" w:color="auto"/>
            <w:left w:val="none" w:sz="0" w:space="0" w:color="auto"/>
            <w:bottom w:val="none" w:sz="0" w:space="0" w:color="auto"/>
            <w:right w:val="none" w:sz="0" w:space="0" w:color="auto"/>
          </w:divBdr>
          <w:divsChild>
            <w:div w:id="1278947941">
              <w:marLeft w:val="0"/>
              <w:marRight w:val="0"/>
              <w:marTop w:val="0"/>
              <w:marBottom w:val="0"/>
              <w:divBdr>
                <w:top w:val="none" w:sz="0" w:space="0" w:color="auto"/>
                <w:left w:val="none" w:sz="0" w:space="0" w:color="auto"/>
                <w:bottom w:val="none" w:sz="0" w:space="0" w:color="auto"/>
                <w:right w:val="none" w:sz="0" w:space="0" w:color="auto"/>
              </w:divBdr>
              <w:divsChild>
                <w:div w:id="1052581111">
                  <w:marLeft w:val="0"/>
                  <w:marRight w:val="0"/>
                  <w:marTop w:val="0"/>
                  <w:marBottom w:val="0"/>
                  <w:divBdr>
                    <w:top w:val="none" w:sz="0" w:space="0" w:color="auto"/>
                    <w:left w:val="none" w:sz="0" w:space="0" w:color="auto"/>
                    <w:bottom w:val="none" w:sz="0" w:space="0" w:color="auto"/>
                    <w:right w:val="none" w:sz="0" w:space="0" w:color="auto"/>
                  </w:divBdr>
                  <w:divsChild>
                    <w:div w:id="985007466">
                      <w:marLeft w:val="0"/>
                      <w:marRight w:val="0"/>
                      <w:marTop w:val="0"/>
                      <w:marBottom w:val="0"/>
                      <w:divBdr>
                        <w:top w:val="none" w:sz="0" w:space="0" w:color="auto"/>
                        <w:left w:val="none" w:sz="0" w:space="0" w:color="auto"/>
                        <w:bottom w:val="none" w:sz="0" w:space="0" w:color="auto"/>
                        <w:right w:val="none" w:sz="0" w:space="0" w:color="auto"/>
                      </w:divBdr>
                      <w:divsChild>
                        <w:div w:id="915015462">
                          <w:marLeft w:val="0"/>
                          <w:marRight w:val="0"/>
                          <w:marTop w:val="0"/>
                          <w:marBottom w:val="0"/>
                          <w:divBdr>
                            <w:top w:val="none" w:sz="0" w:space="0" w:color="auto"/>
                            <w:left w:val="none" w:sz="0" w:space="0" w:color="auto"/>
                            <w:bottom w:val="none" w:sz="0" w:space="0" w:color="auto"/>
                            <w:right w:val="none" w:sz="0" w:space="0" w:color="auto"/>
                          </w:divBdr>
                          <w:divsChild>
                            <w:div w:id="214127710">
                              <w:marLeft w:val="0"/>
                              <w:marRight w:val="0"/>
                              <w:marTop w:val="0"/>
                              <w:marBottom w:val="0"/>
                              <w:divBdr>
                                <w:top w:val="none" w:sz="0" w:space="0" w:color="auto"/>
                                <w:left w:val="none" w:sz="0" w:space="0" w:color="auto"/>
                                <w:bottom w:val="none" w:sz="0" w:space="0" w:color="auto"/>
                                <w:right w:val="none" w:sz="0" w:space="0" w:color="auto"/>
                              </w:divBdr>
                              <w:divsChild>
                                <w:div w:id="2093895335">
                                  <w:marLeft w:val="0"/>
                                  <w:marRight w:val="0"/>
                                  <w:marTop w:val="0"/>
                                  <w:marBottom w:val="0"/>
                                  <w:divBdr>
                                    <w:top w:val="none" w:sz="0" w:space="0" w:color="auto"/>
                                    <w:left w:val="none" w:sz="0" w:space="0" w:color="auto"/>
                                    <w:bottom w:val="none" w:sz="0" w:space="0" w:color="auto"/>
                                    <w:right w:val="none" w:sz="0" w:space="0" w:color="auto"/>
                                  </w:divBdr>
                                  <w:divsChild>
                                    <w:div w:id="1883715097">
                                      <w:marLeft w:val="0"/>
                                      <w:marRight w:val="0"/>
                                      <w:marTop w:val="0"/>
                                      <w:marBottom w:val="0"/>
                                      <w:divBdr>
                                        <w:top w:val="none" w:sz="0" w:space="0" w:color="auto"/>
                                        <w:left w:val="none" w:sz="0" w:space="0" w:color="auto"/>
                                        <w:bottom w:val="none" w:sz="0" w:space="0" w:color="auto"/>
                                        <w:right w:val="none" w:sz="0" w:space="0" w:color="auto"/>
                                      </w:divBdr>
                                      <w:divsChild>
                                        <w:div w:id="21381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25183">
                          <w:marLeft w:val="0"/>
                          <w:marRight w:val="0"/>
                          <w:marTop w:val="0"/>
                          <w:marBottom w:val="0"/>
                          <w:divBdr>
                            <w:top w:val="none" w:sz="0" w:space="0" w:color="auto"/>
                            <w:left w:val="none" w:sz="0" w:space="0" w:color="auto"/>
                            <w:bottom w:val="none" w:sz="0" w:space="0" w:color="auto"/>
                            <w:right w:val="none" w:sz="0" w:space="0" w:color="auto"/>
                          </w:divBdr>
                          <w:divsChild>
                            <w:div w:id="737823811">
                              <w:marLeft w:val="0"/>
                              <w:marRight w:val="0"/>
                              <w:marTop w:val="0"/>
                              <w:marBottom w:val="0"/>
                              <w:divBdr>
                                <w:top w:val="none" w:sz="0" w:space="0" w:color="auto"/>
                                <w:left w:val="none" w:sz="0" w:space="0" w:color="auto"/>
                                <w:bottom w:val="none" w:sz="0" w:space="0" w:color="auto"/>
                                <w:right w:val="none" w:sz="0" w:space="0" w:color="auto"/>
                              </w:divBdr>
                              <w:divsChild>
                                <w:div w:id="868639782">
                                  <w:marLeft w:val="0"/>
                                  <w:marRight w:val="0"/>
                                  <w:marTop w:val="0"/>
                                  <w:marBottom w:val="0"/>
                                  <w:divBdr>
                                    <w:top w:val="none" w:sz="0" w:space="0" w:color="auto"/>
                                    <w:left w:val="none" w:sz="0" w:space="0" w:color="auto"/>
                                    <w:bottom w:val="none" w:sz="0" w:space="0" w:color="auto"/>
                                    <w:right w:val="none" w:sz="0" w:space="0" w:color="auto"/>
                                  </w:divBdr>
                                  <w:divsChild>
                                    <w:div w:id="1414935853">
                                      <w:marLeft w:val="0"/>
                                      <w:marRight w:val="0"/>
                                      <w:marTop w:val="0"/>
                                      <w:marBottom w:val="0"/>
                                      <w:divBdr>
                                        <w:top w:val="none" w:sz="0" w:space="0" w:color="auto"/>
                                        <w:left w:val="none" w:sz="0" w:space="0" w:color="auto"/>
                                        <w:bottom w:val="none" w:sz="0" w:space="0" w:color="auto"/>
                                        <w:right w:val="none" w:sz="0" w:space="0" w:color="auto"/>
                                      </w:divBdr>
                                    </w:div>
                                    <w:div w:id="40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203503">
          <w:marLeft w:val="0"/>
          <w:marRight w:val="0"/>
          <w:marTop w:val="0"/>
          <w:marBottom w:val="0"/>
          <w:divBdr>
            <w:top w:val="none" w:sz="0" w:space="0" w:color="auto"/>
            <w:left w:val="none" w:sz="0" w:space="0" w:color="auto"/>
            <w:bottom w:val="none" w:sz="0" w:space="0" w:color="auto"/>
            <w:right w:val="none" w:sz="0" w:space="0" w:color="auto"/>
          </w:divBdr>
          <w:divsChild>
            <w:div w:id="1230189236">
              <w:marLeft w:val="0"/>
              <w:marRight w:val="0"/>
              <w:marTop w:val="0"/>
              <w:marBottom w:val="0"/>
              <w:divBdr>
                <w:top w:val="none" w:sz="0" w:space="0" w:color="auto"/>
                <w:left w:val="none" w:sz="0" w:space="0" w:color="auto"/>
                <w:bottom w:val="none" w:sz="0" w:space="0" w:color="auto"/>
                <w:right w:val="none" w:sz="0" w:space="0" w:color="auto"/>
              </w:divBdr>
              <w:divsChild>
                <w:div w:id="340160178">
                  <w:marLeft w:val="0"/>
                  <w:marRight w:val="0"/>
                  <w:marTop w:val="0"/>
                  <w:marBottom w:val="0"/>
                  <w:divBdr>
                    <w:top w:val="none" w:sz="0" w:space="0" w:color="auto"/>
                    <w:left w:val="none" w:sz="0" w:space="0" w:color="auto"/>
                    <w:bottom w:val="none" w:sz="0" w:space="0" w:color="auto"/>
                    <w:right w:val="none" w:sz="0" w:space="0" w:color="auto"/>
                  </w:divBdr>
                  <w:divsChild>
                    <w:div w:id="796605794">
                      <w:marLeft w:val="0"/>
                      <w:marRight w:val="0"/>
                      <w:marTop w:val="0"/>
                      <w:marBottom w:val="0"/>
                      <w:divBdr>
                        <w:top w:val="none" w:sz="0" w:space="0" w:color="auto"/>
                        <w:left w:val="none" w:sz="0" w:space="0" w:color="auto"/>
                        <w:bottom w:val="none" w:sz="0" w:space="0" w:color="auto"/>
                        <w:right w:val="none" w:sz="0" w:space="0" w:color="auto"/>
                      </w:divBdr>
                    </w:div>
                    <w:div w:id="1981303720">
                      <w:marLeft w:val="0"/>
                      <w:marRight w:val="0"/>
                      <w:marTop w:val="0"/>
                      <w:marBottom w:val="0"/>
                      <w:divBdr>
                        <w:top w:val="none" w:sz="0" w:space="0" w:color="auto"/>
                        <w:left w:val="none" w:sz="0" w:space="0" w:color="auto"/>
                        <w:bottom w:val="none" w:sz="0" w:space="0" w:color="auto"/>
                        <w:right w:val="none" w:sz="0" w:space="0" w:color="auto"/>
                      </w:divBdr>
                    </w:div>
                    <w:div w:id="2091148836">
                      <w:marLeft w:val="0"/>
                      <w:marRight w:val="0"/>
                      <w:marTop w:val="0"/>
                      <w:marBottom w:val="0"/>
                      <w:divBdr>
                        <w:top w:val="none" w:sz="0" w:space="0" w:color="auto"/>
                        <w:left w:val="none" w:sz="0" w:space="0" w:color="auto"/>
                        <w:bottom w:val="none" w:sz="0" w:space="0" w:color="auto"/>
                        <w:right w:val="none" w:sz="0" w:space="0" w:color="auto"/>
                      </w:divBdr>
                      <w:divsChild>
                        <w:div w:id="475949510">
                          <w:marLeft w:val="0"/>
                          <w:marRight w:val="0"/>
                          <w:marTop w:val="0"/>
                          <w:marBottom w:val="0"/>
                          <w:divBdr>
                            <w:top w:val="none" w:sz="0" w:space="0" w:color="auto"/>
                            <w:left w:val="none" w:sz="0" w:space="0" w:color="auto"/>
                            <w:bottom w:val="none" w:sz="0" w:space="0" w:color="auto"/>
                            <w:right w:val="none" w:sz="0" w:space="0" w:color="auto"/>
                          </w:divBdr>
                          <w:divsChild>
                            <w:div w:id="1349528590">
                              <w:marLeft w:val="0"/>
                              <w:marRight w:val="0"/>
                              <w:marTop w:val="0"/>
                              <w:marBottom w:val="0"/>
                              <w:divBdr>
                                <w:top w:val="none" w:sz="0" w:space="0" w:color="auto"/>
                                <w:left w:val="none" w:sz="0" w:space="0" w:color="auto"/>
                                <w:bottom w:val="none" w:sz="0" w:space="0" w:color="auto"/>
                                <w:right w:val="none" w:sz="0" w:space="0" w:color="auto"/>
                              </w:divBdr>
                              <w:divsChild>
                                <w:div w:id="438795512">
                                  <w:marLeft w:val="0"/>
                                  <w:marRight w:val="0"/>
                                  <w:marTop w:val="0"/>
                                  <w:marBottom w:val="0"/>
                                  <w:divBdr>
                                    <w:top w:val="none" w:sz="0" w:space="0" w:color="auto"/>
                                    <w:left w:val="none" w:sz="0" w:space="0" w:color="auto"/>
                                    <w:bottom w:val="none" w:sz="0" w:space="0" w:color="auto"/>
                                    <w:right w:val="none" w:sz="0" w:space="0" w:color="auto"/>
                                  </w:divBdr>
                                  <w:divsChild>
                                    <w:div w:id="28704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33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CD126-79EB-4AEA-AB20-E46C005E6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31</Pages>
  <Words>16641</Words>
  <Characters>94860</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Karen (Business Administration)</dc:creator>
  <cp:keywords/>
  <dc:description/>
  <cp:lastModifiedBy>Diana Barber</cp:lastModifiedBy>
  <cp:revision>8</cp:revision>
  <cp:lastPrinted>2023-08-23T13:23:00Z</cp:lastPrinted>
  <dcterms:created xsi:type="dcterms:W3CDTF">2025-05-04T16:31:00Z</dcterms:created>
  <dcterms:modified xsi:type="dcterms:W3CDTF">2025-05-04T21:03:00Z</dcterms:modified>
</cp:coreProperties>
</file>