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0563" w:rsidR="0022084C" w:rsidP="008E0563" w:rsidRDefault="00E234B6" w14:paraId="784FF25E" w14:textId="02400590">
      <w:pPr>
        <w:spacing w:after="240" w:line="360" w:lineRule="auto"/>
        <w:jc w:val="center"/>
        <w:rPr>
          <w:rFonts w:ascii="Times New Roman" w:hAnsi="Times New Roman" w:cs="Times New Roman"/>
          <w:b/>
          <w:bCs/>
        </w:rPr>
      </w:pPr>
      <w:r w:rsidRPr="008E0563">
        <w:rPr>
          <w:rFonts w:ascii="Times New Roman" w:hAnsi="Times New Roman" w:cs="Times New Roman"/>
          <w:b/>
          <w:bCs/>
        </w:rPr>
        <w:t>Deal Readiness in Hospitality: Preparing Your Restaurant or Hotel Business for Acquisition or Investment</w:t>
      </w:r>
    </w:p>
    <w:p w:rsidRPr="008E0563" w:rsidR="00E234B6" w:rsidP="008E0563" w:rsidRDefault="00E234B6" w14:paraId="740D0A25" w14:textId="372C46AD">
      <w:pPr>
        <w:spacing w:after="240" w:line="360" w:lineRule="auto"/>
        <w:jc w:val="center"/>
        <w:rPr>
          <w:rFonts w:ascii="Times New Roman" w:hAnsi="Times New Roman" w:cs="Times New Roman"/>
        </w:rPr>
      </w:pPr>
      <w:r w:rsidRPr="008E0563">
        <w:rPr>
          <w:rFonts w:ascii="Times New Roman" w:hAnsi="Times New Roman" w:cs="Times New Roman"/>
        </w:rPr>
        <w:t>Michael J. McGee, Dentons</w:t>
      </w:r>
    </w:p>
    <w:p w:rsidRPr="008E0563" w:rsidR="00E234B6" w:rsidP="008E0563" w:rsidRDefault="006C6B4F" w14:paraId="74659D5E" w14:textId="1A69E881">
      <w:pPr>
        <w:spacing w:after="240" w:line="360" w:lineRule="auto"/>
        <w:jc w:val="both"/>
        <w:rPr>
          <w:rFonts w:ascii="Times New Roman" w:hAnsi="Times New Roman" w:cs="Times New Roman"/>
        </w:rPr>
      </w:pPr>
      <w:r w:rsidRPr="008E0563">
        <w:rPr>
          <w:rFonts w:ascii="Times New Roman" w:hAnsi="Times New Roman" w:cs="Times New Roman"/>
        </w:rPr>
        <w:t xml:space="preserve">Many hospitality </w:t>
      </w:r>
      <w:r w:rsidR="00445F80">
        <w:rPr>
          <w:rFonts w:ascii="Times New Roman" w:hAnsi="Times New Roman" w:cs="Times New Roman"/>
        </w:rPr>
        <w:t>business owners</w:t>
      </w:r>
      <w:r w:rsidRPr="008E0563">
        <w:rPr>
          <w:rFonts w:ascii="Times New Roman" w:hAnsi="Times New Roman" w:cs="Times New Roman"/>
        </w:rPr>
        <w:t xml:space="preserve"> enjoy the challenges and resulting rewards of operating their businesses. The time will inevitably come, however, to bring on new investors to </w:t>
      </w:r>
      <w:r w:rsidRPr="008E0563" w:rsidR="008633A4">
        <w:rPr>
          <w:rFonts w:ascii="Times New Roman" w:hAnsi="Times New Roman" w:cs="Times New Roman"/>
        </w:rPr>
        <w:t xml:space="preserve">spur continued growth, or to sell the business in order to pursue new opportunities. It is never too soon to plan for a potential investment or exit, and this presentation will highlight several areas of </w:t>
      </w:r>
      <w:r w:rsidR="005334A2">
        <w:rPr>
          <w:rFonts w:ascii="Times New Roman" w:hAnsi="Times New Roman" w:cs="Times New Roman"/>
        </w:rPr>
        <w:t>interest.</w:t>
      </w:r>
    </w:p>
    <w:p w:rsidR="008164E1" w:rsidP="008E0563" w:rsidRDefault="008164E1" w14:paraId="431396C7" w14:textId="0266328F">
      <w:pPr>
        <w:pStyle w:val="ListParagraph"/>
        <w:numPr>
          <w:ilvl w:val="0"/>
          <w:numId w:val="1"/>
        </w:numPr>
        <w:spacing w:after="240" w:line="360" w:lineRule="auto"/>
        <w:jc w:val="both"/>
        <w:rPr>
          <w:rFonts w:ascii="Times New Roman" w:hAnsi="Times New Roman" w:cs="Times New Roman"/>
        </w:rPr>
      </w:pPr>
      <w:r>
        <w:rPr>
          <w:rFonts w:ascii="Times New Roman" w:hAnsi="Times New Roman" w:cs="Times New Roman"/>
        </w:rPr>
        <w:t>The Importance of Diligence on the Front End</w:t>
      </w:r>
    </w:p>
    <w:p w:rsidRPr="008164E1" w:rsidR="008164E1" w:rsidP="008164E1" w:rsidRDefault="008164E1" w14:paraId="28B8FB7C" w14:textId="34B170E6">
      <w:pPr>
        <w:spacing w:after="240" w:line="360" w:lineRule="auto"/>
        <w:jc w:val="both"/>
        <w:rPr>
          <w:rFonts w:ascii="Times New Roman" w:hAnsi="Times New Roman" w:cs="Times New Roman"/>
        </w:rPr>
      </w:pPr>
      <w:r>
        <w:rPr>
          <w:rFonts w:ascii="Times New Roman" w:hAnsi="Times New Roman" w:cs="Times New Roman"/>
        </w:rPr>
        <w:t xml:space="preserve">When buying a business, it may be tempting to skimp on due diligence based on timing and cost considerations. </w:t>
      </w:r>
      <w:r w:rsidR="003F28BF">
        <w:rPr>
          <w:rFonts w:ascii="Times New Roman" w:hAnsi="Times New Roman" w:cs="Times New Roman"/>
        </w:rPr>
        <w:t>However, c</w:t>
      </w:r>
      <w:r w:rsidRPr="008164E1">
        <w:rPr>
          <w:rFonts w:ascii="Times New Roman" w:hAnsi="Times New Roman" w:cs="Times New Roman"/>
        </w:rPr>
        <w:t xml:space="preserve">onducting </w:t>
      </w:r>
      <w:r>
        <w:rPr>
          <w:rFonts w:ascii="Times New Roman" w:hAnsi="Times New Roman" w:cs="Times New Roman"/>
        </w:rPr>
        <w:t xml:space="preserve">meaningful </w:t>
      </w:r>
      <w:r w:rsidRPr="008164E1">
        <w:rPr>
          <w:rFonts w:ascii="Times New Roman" w:hAnsi="Times New Roman" w:cs="Times New Roman"/>
        </w:rPr>
        <w:t>due diligence</w:t>
      </w:r>
      <w:r w:rsidR="003F28BF">
        <w:rPr>
          <w:rFonts w:ascii="Times New Roman" w:hAnsi="Times New Roman" w:cs="Times New Roman"/>
        </w:rPr>
        <w:t xml:space="preserve"> on the front end</w:t>
      </w:r>
      <w:r w:rsidRPr="008164E1">
        <w:rPr>
          <w:rFonts w:ascii="Times New Roman" w:hAnsi="Times New Roman" w:cs="Times New Roman"/>
        </w:rPr>
        <w:t xml:space="preserve"> is essential not only to protect the </w:t>
      </w:r>
      <w:r>
        <w:rPr>
          <w:rFonts w:ascii="Times New Roman" w:hAnsi="Times New Roman" w:cs="Times New Roman"/>
        </w:rPr>
        <w:t>new owner’s</w:t>
      </w:r>
      <w:r w:rsidRPr="008164E1">
        <w:rPr>
          <w:rFonts w:ascii="Times New Roman" w:hAnsi="Times New Roman" w:cs="Times New Roman"/>
        </w:rPr>
        <w:t xml:space="preserve"> immediate interests</w:t>
      </w:r>
      <w:r>
        <w:rPr>
          <w:rFonts w:ascii="Times New Roman" w:hAnsi="Times New Roman" w:cs="Times New Roman"/>
        </w:rPr>
        <w:t>, but also gives comfort that there are no “landmines” that may be uncovered by a future buyer or investor of the business down the road. In addition, a subsequent buyer or investor may be able to use prior third-party diligence reports as a starting point or building block for their own diligence, which in turn will make the transaction more efficient from a timing perspective.</w:t>
      </w:r>
    </w:p>
    <w:p w:rsidR="008633A4" w:rsidP="008E0563" w:rsidRDefault="00A56A7D" w14:paraId="1C02402A" w14:textId="62611FF3">
      <w:pPr>
        <w:pStyle w:val="ListParagraph"/>
        <w:numPr>
          <w:ilvl w:val="0"/>
          <w:numId w:val="1"/>
        </w:numPr>
        <w:spacing w:after="240" w:line="360" w:lineRule="auto"/>
        <w:jc w:val="both"/>
        <w:rPr>
          <w:rFonts w:ascii="Times New Roman" w:hAnsi="Times New Roman" w:cs="Times New Roman"/>
        </w:rPr>
      </w:pPr>
      <w:r w:rsidRPr="008E0563">
        <w:rPr>
          <w:rFonts w:ascii="Times New Roman" w:hAnsi="Times New Roman" w:cs="Times New Roman"/>
        </w:rPr>
        <w:t>Entity Structuring</w:t>
      </w:r>
    </w:p>
    <w:p w:rsidR="008E0563" w:rsidP="008E0563" w:rsidRDefault="008E0563" w14:paraId="32E6DD63" w14:textId="4CE8DF44">
      <w:pPr>
        <w:spacing w:after="240" w:line="360" w:lineRule="auto"/>
        <w:jc w:val="both"/>
        <w:rPr>
          <w:rFonts w:ascii="Times New Roman" w:hAnsi="Times New Roman" w:cs="Times New Roman"/>
        </w:rPr>
      </w:pPr>
      <w:r w:rsidRPr="008E0563">
        <w:rPr>
          <w:rFonts w:ascii="Times New Roman" w:hAnsi="Times New Roman" w:cs="Times New Roman"/>
        </w:rPr>
        <w:t>In the hospitality industry, it is common to separate the ownership of real estate from the operations (</w:t>
      </w:r>
      <w:r>
        <w:rPr>
          <w:rFonts w:ascii="Times New Roman" w:hAnsi="Times New Roman" w:cs="Times New Roman"/>
        </w:rPr>
        <w:t xml:space="preserve">i.e., </w:t>
      </w:r>
      <w:r w:rsidRPr="008E0563">
        <w:rPr>
          <w:rFonts w:ascii="Times New Roman" w:hAnsi="Times New Roman" w:cs="Times New Roman"/>
        </w:rPr>
        <w:t>the business</w:t>
      </w:r>
      <w:r>
        <w:rPr>
          <w:rFonts w:ascii="Times New Roman" w:hAnsi="Times New Roman" w:cs="Times New Roman"/>
        </w:rPr>
        <w:t xml:space="preserve"> of</w:t>
      </w:r>
      <w:r w:rsidRPr="008E0563">
        <w:rPr>
          <w:rFonts w:ascii="Times New Roman" w:hAnsi="Times New Roman" w:cs="Times New Roman"/>
        </w:rPr>
        <w:t xml:space="preserve"> running the hotel or restaurant) by forming two distinct legal entities. Typically, one entity owns the real estate, while another operates the business and leases the property from the real estate entity. This structure is sometimes referred to as an </w:t>
      </w:r>
      <w:r w:rsidR="00037F58">
        <w:rPr>
          <w:rFonts w:ascii="Times New Roman" w:hAnsi="Times New Roman" w:cs="Times New Roman"/>
        </w:rPr>
        <w:t>“</w:t>
      </w:r>
      <w:r w:rsidRPr="008E0563">
        <w:rPr>
          <w:rFonts w:ascii="Times New Roman" w:hAnsi="Times New Roman" w:cs="Times New Roman"/>
        </w:rPr>
        <w:t>OpCo/PropCo</w:t>
      </w:r>
      <w:r w:rsidR="00037F58">
        <w:rPr>
          <w:rFonts w:ascii="Times New Roman" w:hAnsi="Times New Roman" w:cs="Times New Roman"/>
        </w:rPr>
        <w:t>”</w:t>
      </w:r>
      <w:r w:rsidRPr="008E0563">
        <w:rPr>
          <w:rFonts w:ascii="Times New Roman" w:hAnsi="Times New Roman" w:cs="Times New Roman"/>
        </w:rPr>
        <w:t xml:space="preserve"> (Operating Company/Property Company) arrangement.</w:t>
      </w:r>
    </w:p>
    <w:p w:rsidR="00E47D44" w:rsidP="008E0563" w:rsidRDefault="00E47D44" w14:paraId="45B06638" w14:textId="544AC15F">
      <w:pPr>
        <w:spacing w:after="240" w:line="360" w:lineRule="auto"/>
        <w:jc w:val="both"/>
        <w:rPr>
          <w:rFonts w:ascii="Times New Roman" w:hAnsi="Times New Roman" w:cs="Times New Roman"/>
        </w:rPr>
      </w:pPr>
      <w:r w:rsidRPr="00E47D44">
        <w:rPr>
          <w:rFonts w:ascii="Times New Roman" w:hAnsi="Times New Roman" w:cs="Times New Roman"/>
        </w:rPr>
        <w:t>In addition to separating real estate (PropCo) and operations (OpCo), hospitality businesses sometimes introduce a third entit</w:t>
      </w:r>
      <w:r w:rsidR="009C75CF">
        <w:rPr>
          <w:rFonts w:ascii="Times New Roman" w:hAnsi="Times New Roman" w:cs="Times New Roman"/>
        </w:rPr>
        <w:t xml:space="preserve">y, </w:t>
      </w:r>
      <w:r w:rsidRPr="00E47D44">
        <w:rPr>
          <w:rFonts w:ascii="Times New Roman" w:hAnsi="Times New Roman" w:cs="Times New Roman"/>
        </w:rPr>
        <w:t>a management company</w:t>
      </w:r>
      <w:r w:rsidR="009C75CF">
        <w:rPr>
          <w:rFonts w:ascii="Times New Roman" w:hAnsi="Times New Roman" w:cs="Times New Roman"/>
        </w:rPr>
        <w:t xml:space="preserve">, </w:t>
      </w:r>
      <w:r w:rsidRPr="00E47D44">
        <w:rPr>
          <w:rFonts w:ascii="Times New Roman" w:hAnsi="Times New Roman" w:cs="Times New Roman"/>
        </w:rPr>
        <w:t>to handle day-to-day operations, staffing, and management services. The management company typically enters into a management agreement with the operating company (and sometimes directly with the property owner).</w:t>
      </w:r>
    </w:p>
    <w:p w:rsidR="00E47D44" w:rsidP="008E0563" w:rsidRDefault="00E47D44" w14:paraId="18FD2600" w14:textId="4741D811">
      <w:pPr>
        <w:spacing w:after="240" w:line="360" w:lineRule="auto"/>
        <w:jc w:val="both"/>
        <w:rPr>
          <w:rFonts w:ascii="Times New Roman" w:hAnsi="Times New Roman" w:cs="Times New Roman"/>
        </w:rPr>
      </w:pPr>
      <w:r>
        <w:rPr>
          <w:rFonts w:ascii="Times New Roman" w:hAnsi="Times New Roman" w:cs="Times New Roman"/>
        </w:rPr>
        <w:t>There are pros and cons to creating separate entities to house certain aspects of the hospitality business. Pros include:</w:t>
      </w:r>
    </w:p>
    <w:p w:rsidRPr="00AF07C2" w:rsidR="00E47D44" w:rsidP="00E47D44" w:rsidRDefault="00E47D44" w14:paraId="72D11025" w14:textId="24231CB6">
      <w:pPr>
        <w:pStyle w:val="ListParagraph"/>
        <w:numPr>
          <w:ilvl w:val="0"/>
          <w:numId w:val="2"/>
        </w:numPr>
        <w:spacing w:after="240" w:line="360" w:lineRule="auto"/>
        <w:jc w:val="both"/>
        <w:rPr>
          <w:rFonts w:ascii="Times New Roman" w:hAnsi="Times New Roman" w:cs="Times New Roman"/>
        </w:rPr>
      </w:pPr>
      <w:r w:rsidRPr="00AF07C2">
        <w:rPr>
          <w:rFonts w:ascii="Times New Roman" w:hAnsi="Times New Roman" w:cs="Times New Roman"/>
        </w:rPr>
        <w:lastRenderedPageBreak/>
        <w:t xml:space="preserve">Enhanced </w:t>
      </w:r>
      <w:r w:rsidRPr="00AF07C2" w:rsidR="00AF07C2">
        <w:rPr>
          <w:rFonts w:ascii="Times New Roman" w:hAnsi="Times New Roman" w:cs="Times New Roman"/>
        </w:rPr>
        <w:t>l</w:t>
      </w:r>
      <w:r w:rsidRPr="00AF07C2">
        <w:rPr>
          <w:rFonts w:ascii="Times New Roman" w:hAnsi="Times New Roman" w:cs="Times New Roman"/>
        </w:rPr>
        <w:t xml:space="preserve">iability </w:t>
      </w:r>
      <w:r w:rsidRPr="00AF07C2" w:rsidR="00AF07C2">
        <w:rPr>
          <w:rFonts w:ascii="Times New Roman" w:hAnsi="Times New Roman" w:cs="Times New Roman"/>
        </w:rPr>
        <w:t>s</w:t>
      </w:r>
      <w:r w:rsidRPr="00AF07C2">
        <w:rPr>
          <w:rFonts w:ascii="Times New Roman" w:hAnsi="Times New Roman" w:cs="Times New Roman"/>
        </w:rPr>
        <w:t>egregation</w:t>
      </w:r>
    </w:p>
    <w:p w:rsidRPr="00AF07C2" w:rsidR="00E47D44" w:rsidP="00E47D44" w:rsidRDefault="00E47D44" w14:paraId="3AB5E035" w14:textId="17DBDE62">
      <w:pPr>
        <w:pStyle w:val="ListParagraph"/>
        <w:numPr>
          <w:ilvl w:val="0"/>
          <w:numId w:val="2"/>
        </w:numPr>
        <w:spacing w:after="240" w:line="360" w:lineRule="auto"/>
        <w:jc w:val="both"/>
        <w:rPr>
          <w:rFonts w:ascii="Times New Roman" w:hAnsi="Times New Roman" w:cs="Times New Roman"/>
        </w:rPr>
      </w:pPr>
      <w:r w:rsidRPr="00AF07C2">
        <w:rPr>
          <w:rFonts w:ascii="Times New Roman" w:hAnsi="Times New Roman" w:cs="Times New Roman"/>
        </w:rPr>
        <w:t xml:space="preserve">Financing </w:t>
      </w:r>
      <w:r w:rsidRPr="00AF07C2" w:rsidR="00AF07C2">
        <w:rPr>
          <w:rFonts w:ascii="Times New Roman" w:hAnsi="Times New Roman" w:cs="Times New Roman"/>
        </w:rPr>
        <w:t>f</w:t>
      </w:r>
      <w:r w:rsidRPr="00AF07C2">
        <w:rPr>
          <w:rFonts w:ascii="Times New Roman" w:hAnsi="Times New Roman" w:cs="Times New Roman"/>
        </w:rPr>
        <w:t>lexibility</w:t>
      </w:r>
    </w:p>
    <w:p w:rsidRPr="00AF07C2" w:rsidR="00E47D44" w:rsidP="00E47D44" w:rsidRDefault="00E47D44" w14:paraId="1D60D85C" w14:textId="4FF95C1B">
      <w:pPr>
        <w:pStyle w:val="ListParagraph"/>
        <w:numPr>
          <w:ilvl w:val="0"/>
          <w:numId w:val="2"/>
        </w:numPr>
        <w:spacing w:after="240" w:line="360" w:lineRule="auto"/>
        <w:jc w:val="both"/>
        <w:rPr>
          <w:rFonts w:ascii="Times New Roman" w:hAnsi="Times New Roman" w:cs="Times New Roman"/>
        </w:rPr>
      </w:pPr>
      <w:r w:rsidRPr="00AF07C2">
        <w:rPr>
          <w:rFonts w:ascii="Times New Roman" w:hAnsi="Times New Roman" w:cs="Times New Roman"/>
        </w:rPr>
        <w:t>Tax</w:t>
      </w:r>
      <w:r w:rsidRPr="00AF07C2">
        <w:rPr>
          <w:rFonts w:ascii="Times New Roman" w:hAnsi="Times New Roman" w:cs="Times New Roman"/>
        </w:rPr>
        <w:t xml:space="preserve"> and </w:t>
      </w:r>
      <w:r w:rsidRPr="00AF07C2" w:rsidR="00AF07C2">
        <w:rPr>
          <w:rFonts w:ascii="Times New Roman" w:hAnsi="Times New Roman" w:cs="Times New Roman"/>
        </w:rPr>
        <w:t>e</w:t>
      </w:r>
      <w:r w:rsidRPr="00AF07C2">
        <w:rPr>
          <w:rFonts w:ascii="Times New Roman" w:hAnsi="Times New Roman" w:cs="Times New Roman"/>
        </w:rPr>
        <w:t>state</w:t>
      </w:r>
      <w:r w:rsidRPr="00AF07C2">
        <w:rPr>
          <w:rFonts w:ascii="Times New Roman" w:hAnsi="Times New Roman" w:cs="Times New Roman"/>
        </w:rPr>
        <w:t xml:space="preserve"> </w:t>
      </w:r>
      <w:r w:rsidRPr="00AF07C2" w:rsidR="00AF07C2">
        <w:rPr>
          <w:rFonts w:ascii="Times New Roman" w:hAnsi="Times New Roman" w:cs="Times New Roman"/>
        </w:rPr>
        <w:t>p</w:t>
      </w:r>
      <w:r w:rsidRPr="00AF07C2">
        <w:rPr>
          <w:rFonts w:ascii="Times New Roman" w:hAnsi="Times New Roman" w:cs="Times New Roman"/>
        </w:rPr>
        <w:t xml:space="preserve">lanning </w:t>
      </w:r>
      <w:r w:rsidRPr="00AF07C2" w:rsidR="00AF07C2">
        <w:rPr>
          <w:rFonts w:ascii="Times New Roman" w:hAnsi="Times New Roman" w:cs="Times New Roman"/>
        </w:rPr>
        <w:t>o</w:t>
      </w:r>
      <w:r w:rsidRPr="00AF07C2">
        <w:rPr>
          <w:rFonts w:ascii="Times New Roman" w:hAnsi="Times New Roman" w:cs="Times New Roman"/>
        </w:rPr>
        <w:t>pportunities</w:t>
      </w:r>
    </w:p>
    <w:p w:rsidRPr="00AF07C2" w:rsidR="00E47D44" w:rsidP="00E47D44" w:rsidRDefault="00E47D44" w14:paraId="5B993175" w14:textId="3E8A1346">
      <w:pPr>
        <w:pStyle w:val="ListParagraph"/>
        <w:numPr>
          <w:ilvl w:val="0"/>
          <w:numId w:val="2"/>
        </w:numPr>
        <w:spacing w:after="240" w:line="360" w:lineRule="auto"/>
        <w:jc w:val="both"/>
        <w:rPr>
          <w:rFonts w:ascii="Times New Roman" w:hAnsi="Times New Roman" w:cs="Times New Roman"/>
        </w:rPr>
      </w:pPr>
      <w:r w:rsidRPr="00AF07C2">
        <w:rPr>
          <w:rFonts w:ascii="Times New Roman" w:hAnsi="Times New Roman" w:cs="Times New Roman"/>
        </w:rPr>
        <w:t xml:space="preserve">Sale and </w:t>
      </w:r>
      <w:r w:rsidRPr="00AF07C2" w:rsidR="00AF07C2">
        <w:rPr>
          <w:rFonts w:ascii="Times New Roman" w:hAnsi="Times New Roman" w:cs="Times New Roman"/>
        </w:rPr>
        <w:t>e</w:t>
      </w:r>
      <w:r w:rsidRPr="00AF07C2">
        <w:rPr>
          <w:rFonts w:ascii="Times New Roman" w:hAnsi="Times New Roman" w:cs="Times New Roman"/>
        </w:rPr>
        <w:t xml:space="preserve">xit </w:t>
      </w:r>
      <w:r w:rsidRPr="00AF07C2" w:rsidR="00AF07C2">
        <w:rPr>
          <w:rFonts w:ascii="Times New Roman" w:hAnsi="Times New Roman" w:cs="Times New Roman"/>
        </w:rPr>
        <w:t>f</w:t>
      </w:r>
      <w:r w:rsidRPr="00AF07C2">
        <w:rPr>
          <w:rFonts w:ascii="Times New Roman" w:hAnsi="Times New Roman" w:cs="Times New Roman"/>
        </w:rPr>
        <w:t>lexibility</w:t>
      </w:r>
    </w:p>
    <w:p w:rsidR="00E47D44" w:rsidP="00E47D44" w:rsidRDefault="00AF07C2" w14:paraId="6446F950" w14:textId="7100F4F6">
      <w:pPr>
        <w:spacing w:after="240" w:line="360" w:lineRule="auto"/>
        <w:jc w:val="both"/>
        <w:rPr>
          <w:rFonts w:ascii="Times New Roman" w:hAnsi="Times New Roman" w:cs="Times New Roman"/>
        </w:rPr>
      </w:pPr>
      <w:r>
        <w:rPr>
          <w:rFonts w:ascii="Times New Roman" w:hAnsi="Times New Roman" w:cs="Times New Roman"/>
        </w:rPr>
        <w:t>The most notable drawback is that the multiple entities will result in increased complexity and costs.</w:t>
      </w:r>
    </w:p>
    <w:p w:rsidR="00E47D44" w:rsidP="00AF07C2" w:rsidRDefault="00CA7B40" w14:paraId="70AFF963" w14:textId="50FEAE14">
      <w:pPr>
        <w:pStyle w:val="ListParagraph"/>
        <w:numPr>
          <w:ilvl w:val="0"/>
          <w:numId w:val="1"/>
        </w:numPr>
        <w:spacing w:after="240" w:line="360" w:lineRule="auto"/>
        <w:jc w:val="both"/>
        <w:rPr>
          <w:rFonts w:ascii="Times New Roman" w:hAnsi="Times New Roman" w:cs="Times New Roman"/>
        </w:rPr>
      </w:pPr>
      <w:r>
        <w:rPr>
          <w:rFonts w:ascii="Times New Roman" w:hAnsi="Times New Roman" w:cs="Times New Roman"/>
        </w:rPr>
        <w:t>IP Protection</w:t>
      </w:r>
    </w:p>
    <w:p w:rsidR="00CA7B40" w:rsidP="00CA7B40" w:rsidRDefault="00CA7B40" w14:paraId="3B47270A" w14:textId="64B8FBC3">
      <w:pPr>
        <w:spacing w:after="240" w:line="360" w:lineRule="auto"/>
        <w:jc w:val="both"/>
        <w:rPr>
          <w:rFonts w:ascii="Times New Roman" w:hAnsi="Times New Roman" w:cs="Times New Roman"/>
        </w:rPr>
      </w:pPr>
      <w:r w:rsidRPr="00CA7B40">
        <w:rPr>
          <w:rFonts w:ascii="Times New Roman" w:hAnsi="Times New Roman" w:cs="Times New Roman"/>
        </w:rPr>
        <w:t>Owners of hospitality businesses should prioritize intellectual property (IP) protection to safeguard their brand, creative assets, and competitive</w:t>
      </w:r>
      <w:r>
        <w:rPr>
          <w:rFonts w:ascii="Times New Roman" w:hAnsi="Times New Roman" w:cs="Times New Roman"/>
        </w:rPr>
        <w:t>ly sensitive information</w:t>
      </w:r>
      <w:r w:rsidRPr="00CA7B40">
        <w:rPr>
          <w:rFonts w:ascii="Times New Roman" w:hAnsi="Times New Roman" w:cs="Times New Roman"/>
        </w:rPr>
        <w:t>. Key areas include registering trademarks for business names, logos, and slogans; securing copyrights for original content such as menus, photos, and marketing materials; and protecting trade secrets like proprietary recipes and customer lists through confidentiality agreements</w:t>
      </w:r>
      <w:r w:rsidR="005334A2">
        <w:rPr>
          <w:rFonts w:ascii="Times New Roman" w:hAnsi="Times New Roman" w:cs="Times New Roman"/>
        </w:rPr>
        <w:t xml:space="preserve"> with employees and other service providers,</w:t>
      </w:r>
      <w:r w:rsidRPr="00CA7B40">
        <w:rPr>
          <w:rFonts w:ascii="Times New Roman" w:hAnsi="Times New Roman" w:cs="Times New Roman"/>
        </w:rPr>
        <w:t xml:space="preserve"> and internal policies. Additionally, design rights can help </w:t>
      </w:r>
      <w:r w:rsidR="00AD6589">
        <w:rPr>
          <w:rFonts w:ascii="Times New Roman" w:hAnsi="Times New Roman" w:cs="Times New Roman"/>
        </w:rPr>
        <w:t>enforce rights in</w:t>
      </w:r>
      <w:r w:rsidRPr="00CA7B40">
        <w:rPr>
          <w:rFonts w:ascii="Times New Roman" w:hAnsi="Times New Roman" w:cs="Times New Roman"/>
        </w:rPr>
        <w:t xml:space="preserve"> unique decor or packaging, while early registration of domain names and social media handles prevents cybersquatting. Robust employee and </w:t>
      </w:r>
      <w:r w:rsidR="005334A2">
        <w:rPr>
          <w:rFonts w:ascii="Times New Roman" w:hAnsi="Times New Roman" w:cs="Times New Roman"/>
        </w:rPr>
        <w:t>service provider</w:t>
      </w:r>
      <w:r w:rsidRPr="00CA7B40">
        <w:rPr>
          <w:rFonts w:ascii="Times New Roman" w:hAnsi="Times New Roman" w:cs="Times New Roman"/>
        </w:rPr>
        <w:t xml:space="preserve"> agreements ensure IP ownership remains with the business, and regular monitoring and enforcement help maintain the value of these assets. </w:t>
      </w:r>
    </w:p>
    <w:p w:rsidR="00680BFB" w:rsidP="00680BFB" w:rsidRDefault="00680BFB" w14:paraId="53C4C701" w14:textId="628B3468">
      <w:pPr>
        <w:pStyle w:val="ListParagraph"/>
        <w:numPr>
          <w:ilvl w:val="0"/>
          <w:numId w:val="1"/>
        </w:numPr>
        <w:spacing w:after="240" w:line="360" w:lineRule="auto"/>
        <w:jc w:val="both"/>
        <w:rPr>
          <w:rFonts w:ascii="Times New Roman" w:hAnsi="Times New Roman" w:cs="Times New Roman"/>
        </w:rPr>
      </w:pPr>
      <w:r>
        <w:rPr>
          <w:rFonts w:ascii="Times New Roman" w:hAnsi="Times New Roman" w:cs="Times New Roman"/>
        </w:rPr>
        <w:t>Assignment/Change of Control Provisions in Leases</w:t>
      </w:r>
    </w:p>
    <w:p w:rsidR="00680BFB" w:rsidP="00680BFB" w:rsidRDefault="00680BFB" w14:paraId="20E746CD" w14:textId="466A04E5">
      <w:pPr>
        <w:spacing w:after="240" w:line="360" w:lineRule="auto"/>
        <w:jc w:val="both"/>
        <w:rPr>
          <w:rFonts w:ascii="Times New Roman" w:hAnsi="Times New Roman" w:cs="Times New Roman"/>
        </w:rPr>
      </w:pPr>
      <w:r w:rsidRPr="00680BFB">
        <w:rPr>
          <w:rFonts w:ascii="Times New Roman" w:hAnsi="Times New Roman" w:cs="Times New Roman"/>
        </w:rPr>
        <w:t>Negotiating change of control and assignment provisions in a commercial lease is crucial for hospitality businesses because these terms provide essential flexibility for ownership changes, mergers, or restructuring without risking lease termination or business disruption. Favorable provisions help preserve the value of the business by ensuring the lease can be transferred in a sale or to affiliates, which is especially important given the industry’s dynamic nature and reliance on location. Clear, reasonable standards for landlord consent and well-defined procedures also make the business more attractive to investors and lenders, support continuity of operations, and allow the business to adapt to evolving market conditions.</w:t>
      </w:r>
    </w:p>
    <w:p w:rsidR="00BE4975" w:rsidP="002B3899" w:rsidRDefault="002B3899" w14:paraId="186F6EA4" w14:textId="40AB67CF">
      <w:pPr>
        <w:pStyle w:val="ListParagraph"/>
        <w:numPr>
          <w:ilvl w:val="0"/>
          <w:numId w:val="1"/>
        </w:numPr>
        <w:spacing w:after="240" w:line="360" w:lineRule="auto"/>
        <w:jc w:val="both"/>
        <w:rPr>
          <w:rFonts w:ascii="Times New Roman" w:hAnsi="Times New Roman" w:cs="Times New Roman"/>
        </w:rPr>
      </w:pPr>
      <w:r>
        <w:rPr>
          <w:rFonts w:ascii="Times New Roman" w:hAnsi="Times New Roman" w:cs="Times New Roman"/>
        </w:rPr>
        <w:t>Imposing Confidentiality Restrictions While a Sale/Investment is Pending</w:t>
      </w:r>
    </w:p>
    <w:p w:rsidR="002B3899" w:rsidP="002B3899" w:rsidRDefault="002B3899" w14:paraId="26DCBD23" w14:textId="1ABECE91">
      <w:pPr>
        <w:spacing w:after="240" w:line="360" w:lineRule="auto"/>
        <w:jc w:val="both"/>
        <w:rPr>
          <w:rFonts w:ascii="Times New Roman" w:hAnsi="Times New Roman" w:cs="Times New Roman"/>
        </w:rPr>
      </w:pPr>
      <w:r w:rsidRPr="002B3899">
        <w:rPr>
          <w:rFonts w:ascii="Times New Roman" w:hAnsi="Times New Roman" w:cs="Times New Roman"/>
        </w:rPr>
        <w:lastRenderedPageBreak/>
        <w:t>Confidentiality agreements, often called non-disclosure agreements (NDAs), are crucial when selling a hospitality business because they protect sensitive information that is shared during the sales process. This information can include financial statements, customer</w:t>
      </w:r>
      <w:r>
        <w:rPr>
          <w:rFonts w:ascii="Times New Roman" w:hAnsi="Times New Roman" w:cs="Times New Roman"/>
        </w:rPr>
        <w:t xml:space="preserve"> and supplier</w:t>
      </w:r>
      <w:r w:rsidRPr="002B3899">
        <w:rPr>
          <w:rFonts w:ascii="Times New Roman" w:hAnsi="Times New Roman" w:cs="Times New Roman"/>
        </w:rPr>
        <w:t xml:space="preserve"> lists, </w:t>
      </w:r>
      <w:r>
        <w:rPr>
          <w:rFonts w:ascii="Times New Roman" w:hAnsi="Times New Roman" w:cs="Times New Roman"/>
        </w:rPr>
        <w:t>pricing and cost information</w:t>
      </w:r>
      <w:r w:rsidRPr="002B3899">
        <w:rPr>
          <w:rFonts w:ascii="Times New Roman" w:hAnsi="Times New Roman" w:cs="Times New Roman"/>
        </w:rPr>
        <w:t xml:space="preserve">, marketing strategies, recipes, employee details, and other proprietary data. If </w:t>
      </w:r>
      <w:r>
        <w:rPr>
          <w:rFonts w:ascii="Times New Roman" w:hAnsi="Times New Roman" w:cs="Times New Roman"/>
        </w:rPr>
        <w:t>this sensitive</w:t>
      </w:r>
      <w:r w:rsidRPr="002B3899">
        <w:rPr>
          <w:rFonts w:ascii="Times New Roman" w:hAnsi="Times New Roman" w:cs="Times New Roman"/>
        </w:rPr>
        <w:t xml:space="preserve"> information were to become public or fall into the hands of competitors, it could harm the business’s value, reputation, or competitive advantage.</w:t>
      </w:r>
    </w:p>
    <w:p w:rsidRPr="002B3899" w:rsidR="002B3899" w:rsidP="002B3899" w:rsidRDefault="002B3899" w14:paraId="260758BA" w14:textId="18F962B9">
      <w:pPr>
        <w:spacing w:after="240" w:line="360" w:lineRule="auto"/>
        <w:jc w:val="both"/>
        <w:rPr>
          <w:rFonts w:ascii="Times New Roman" w:hAnsi="Times New Roman" w:cs="Times New Roman"/>
        </w:rPr>
      </w:pPr>
      <w:r>
        <w:rPr>
          <w:rFonts w:ascii="Times New Roman" w:hAnsi="Times New Roman" w:cs="Times New Roman"/>
        </w:rPr>
        <w:t xml:space="preserve">In a more direct sense, premature disclosure of a pending transaction can negatively impact the performance and viability of the business. </w:t>
      </w:r>
      <w:r w:rsidRPr="002B3899">
        <w:rPr>
          <w:rFonts w:ascii="Times New Roman" w:hAnsi="Times New Roman" w:cs="Times New Roman"/>
        </w:rPr>
        <w:t>The sale of a business can create uncertainty among employees, customers, and suppliers if news of the potential sale leaks prematurely. A confidentiality agreement helps ensure that only serious, vetted buyers</w:t>
      </w:r>
      <w:r>
        <w:rPr>
          <w:rFonts w:ascii="Times New Roman" w:hAnsi="Times New Roman" w:cs="Times New Roman"/>
        </w:rPr>
        <w:t xml:space="preserve"> and their representatives (on a “need-to-know” basis)</w:t>
      </w:r>
      <w:r w:rsidRPr="002B3899">
        <w:rPr>
          <w:rFonts w:ascii="Times New Roman" w:hAnsi="Times New Roman" w:cs="Times New Roman"/>
        </w:rPr>
        <w:t xml:space="preserve"> have access to sensitive information, reducing the risk of rumors or instability that could disrupt operations or damage relationships.</w:t>
      </w:r>
    </w:p>
    <w:sectPr w:rsidRPr="002B3899" w:rsidR="002B3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F5930"/>
    <w:multiLevelType w:val="hybridMultilevel"/>
    <w:tmpl w:val="B4C6B8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0433F4"/>
    <w:multiLevelType w:val="hybridMultilevel"/>
    <w:tmpl w:val="A840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EB28EC"/>
    <w:multiLevelType w:val="hybridMultilevel"/>
    <w:tmpl w:val="472A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6989660">
    <w:abstractNumId w:val="0"/>
  </w:num>
  <w:num w:numId="2" w16cid:durableId="1228758794">
    <w:abstractNumId w:val="1"/>
  </w:num>
  <w:num w:numId="3" w16cid:durableId="1854496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4B6"/>
    <w:rsid w:val="00003BC7"/>
    <w:rsid w:val="00011902"/>
    <w:rsid w:val="00017391"/>
    <w:rsid w:val="00020CE8"/>
    <w:rsid w:val="0003582A"/>
    <w:rsid w:val="00037F58"/>
    <w:rsid w:val="00046A1F"/>
    <w:rsid w:val="00062398"/>
    <w:rsid w:val="00073D79"/>
    <w:rsid w:val="00074B45"/>
    <w:rsid w:val="0008130F"/>
    <w:rsid w:val="000976F6"/>
    <w:rsid w:val="000A1FD5"/>
    <w:rsid w:val="000A338E"/>
    <w:rsid w:val="000A4E18"/>
    <w:rsid w:val="000D702B"/>
    <w:rsid w:val="001017B5"/>
    <w:rsid w:val="00103030"/>
    <w:rsid w:val="00106FA0"/>
    <w:rsid w:val="00131F11"/>
    <w:rsid w:val="001359A8"/>
    <w:rsid w:val="001407B7"/>
    <w:rsid w:val="00151E8A"/>
    <w:rsid w:val="00161A17"/>
    <w:rsid w:val="00191FC0"/>
    <w:rsid w:val="00195511"/>
    <w:rsid w:val="001A2CDD"/>
    <w:rsid w:val="001A45AA"/>
    <w:rsid w:val="001C1B7F"/>
    <w:rsid w:val="001E0510"/>
    <w:rsid w:val="001E0905"/>
    <w:rsid w:val="001E12FD"/>
    <w:rsid w:val="0022084C"/>
    <w:rsid w:val="00220A00"/>
    <w:rsid w:val="00221AA8"/>
    <w:rsid w:val="002328E2"/>
    <w:rsid w:val="00240216"/>
    <w:rsid w:val="00241B10"/>
    <w:rsid w:val="00242ACE"/>
    <w:rsid w:val="0024652F"/>
    <w:rsid w:val="002536F8"/>
    <w:rsid w:val="00254995"/>
    <w:rsid w:val="0025577A"/>
    <w:rsid w:val="00264638"/>
    <w:rsid w:val="00275EDD"/>
    <w:rsid w:val="0029178B"/>
    <w:rsid w:val="00293617"/>
    <w:rsid w:val="002A114D"/>
    <w:rsid w:val="002A5C60"/>
    <w:rsid w:val="002B3899"/>
    <w:rsid w:val="002B633C"/>
    <w:rsid w:val="002B69F3"/>
    <w:rsid w:val="002C21B3"/>
    <w:rsid w:val="002C4B66"/>
    <w:rsid w:val="002C6FF8"/>
    <w:rsid w:val="002D4077"/>
    <w:rsid w:val="002E20DA"/>
    <w:rsid w:val="002F2DA4"/>
    <w:rsid w:val="00300DF4"/>
    <w:rsid w:val="00305097"/>
    <w:rsid w:val="00307861"/>
    <w:rsid w:val="00327DBB"/>
    <w:rsid w:val="00332B47"/>
    <w:rsid w:val="00352817"/>
    <w:rsid w:val="00364129"/>
    <w:rsid w:val="0037631A"/>
    <w:rsid w:val="003A00E1"/>
    <w:rsid w:val="003A1935"/>
    <w:rsid w:val="003B3BBA"/>
    <w:rsid w:val="003B61CB"/>
    <w:rsid w:val="003B6868"/>
    <w:rsid w:val="003B6991"/>
    <w:rsid w:val="003C2346"/>
    <w:rsid w:val="003D04F8"/>
    <w:rsid w:val="003D7FA7"/>
    <w:rsid w:val="003E1E27"/>
    <w:rsid w:val="003E2DE5"/>
    <w:rsid w:val="003E5F38"/>
    <w:rsid w:val="003E765E"/>
    <w:rsid w:val="003F28BF"/>
    <w:rsid w:val="003F51C1"/>
    <w:rsid w:val="003F6C83"/>
    <w:rsid w:val="00404B0B"/>
    <w:rsid w:val="00413841"/>
    <w:rsid w:val="00413D50"/>
    <w:rsid w:val="0041665B"/>
    <w:rsid w:val="0042006F"/>
    <w:rsid w:val="00420881"/>
    <w:rsid w:val="004414E1"/>
    <w:rsid w:val="00443FEB"/>
    <w:rsid w:val="00445F80"/>
    <w:rsid w:val="00464F75"/>
    <w:rsid w:val="0046559B"/>
    <w:rsid w:val="00465CEB"/>
    <w:rsid w:val="00474545"/>
    <w:rsid w:val="00474B0A"/>
    <w:rsid w:val="00490D33"/>
    <w:rsid w:val="00492E0C"/>
    <w:rsid w:val="004A2534"/>
    <w:rsid w:val="004D3117"/>
    <w:rsid w:val="004D5DE9"/>
    <w:rsid w:val="004E3202"/>
    <w:rsid w:val="00500929"/>
    <w:rsid w:val="00515AB5"/>
    <w:rsid w:val="00517738"/>
    <w:rsid w:val="005216BC"/>
    <w:rsid w:val="005334A2"/>
    <w:rsid w:val="00545707"/>
    <w:rsid w:val="00553589"/>
    <w:rsid w:val="0056154C"/>
    <w:rsid w:val="00580AB5"/>
    <w:rsid w:val="00594166"/>
    <w:rsid w:val="005A1414"/>
    <w:rsid w:val="005A4370"/>
    <w:rsid w:val="005A5697"/>
    <w:rsid w:val="005B0DBE"/>
    <w:rsid w:val="005C0AA7"/>
    <w:rsid w:val="005D5450"/>
    <w:rsid w:val="005E18CC"/>
    <w:rsid w:val="005E5E76"/>
    <w:rsid w:val="0060209E"/>
    <w:rsid w:val="006050AA"/>
    <w:rsid w:val="00605FBA"/>
    <w:rsid w:val="00611384"/>
    <w:rsid w:val="00617048"/>
    <w:rsid w:val="00631ECD"/>
    <w:rsid w:val="0063313E"/>
    <w:rsid w:val="00636108"/>
    <w:rsid w:val="00636BAD"/>
    <w:rsid w:val="006548A8"/>
    <w:rsid w:val="0067083A"/>
    <w:rsid w:val="00680BFB"/>
    <w:rsid w:val="00681DE2"/>
    <w:rsid w:val="00687D46"/>
    <w:rsid w:val="00693A3D"/>
    <w:rsid w:val="00694C32"/>
    <w:rsid w:val="006A347D"/>
    <w:rsid w:val="006A68E7"/>
    <w:rsid w:val="006C05BB"/>
    <w:rsid w:val="006C6B4F"/>
    <w:rsid w:val="006D5BD6"/>
    <w:rsid w:val="006E1292"/>
    <w:rsid w:val="006E41A9"/>
    <w:rsid w:val="006F1D2E"/>
    <w:rsid w:val="007261D4"/>
    <w:rsid w:val="00737103"/>
    <w:rsid w:val="00752C52"/>
    <w:rsid w:val="00752FD7"/>
    <w:rsid w:val="00763715"/>
    <w:rsid w:val="0077030D"/>
    <w:rsid w:val="00780EBB"/>
    <w:rsid w:val="007A3AD5"/>
    <w:rsid w:val="007B5A6F"/>
    <w:rsid w:val="007C0DAA"/>
    <w:rsid w:val="007D1011"/>
    <w:rsid w:val="00807BB2"/>
    <w:rsid w:val="008129A9"/>
    <w:rsid w:val="008164E1"/>
    <w:rsid w:val="00822AD5"/>
    <w:rsid w:val="00827444"/>
    <w:rsid w:val="0083037A"/>
    <w:rsid w:val="00854243"/>
    <w:rsid w:val="008633A4"/>
    <w:rsid w:val="00863E10"/>
    <w:rsid w:val="00887233"/>
    <w:rsid w:val="00895210"/>
    <w:rsid w:val="008A0BB5"/>
    <w:rsid w:val="008A1FD0"/>
    <w:rsid w:val="008A2506"/>
    <w:rsid w:val="008A2A3D"/>
    <w:rsid w:val="008A5579"/>
    <w:rsid w:val="008A6D2E"/>
    <w:rsid w:val="008B0D7A"/>
    <w:rsid w:val="008D3F69"/>
    <w:rsid w:val="008D51C1"/>
    <w:rsid w:val="008D5BD2"/>
    <w:rsid w:val="008E0563"/>
    <w:rsid w:val="008F4743"/>
    <w:rsid w:val="008F5A27"/>
    <w:rsid w:val="008F5E53"/>
    <w:rsid w:val="00905E69"/>
    <w:rsid w:val="0091290C"/>
    <w:rsid w:val="00916F2C"/>
    <w:rsid w:val="00917A3E"/>
    <w:rsid w:val="00930217"/>
    <w:rsid w:val="00931007"/>
    <w:rsid w:val="009356E2"/>
    <w:rsid w:val="00942063"/>
    <w:rsid w:val="009472CA"/>
    <w:rsid w:val="00950699"/>
    <w:rsid w:val="009528C0"/>
    <w:rsid w:val="009542BB"/>
    <w:rsid w:val="009542DF"/>
    <w:rsid w:val="00960148"/>
    <w:rsid w:val="009621DA"/>
    <w:rsid w:val="00974B10"/>
    <w:rsid w:val="00995463"/>
    <w:rsid w:val="009A2F39"/>
    <w:rsid w:val="009A45D6"/>
    <w:rsid w:val="009A57D1"/>
    <w:rsid w:val="009A6AB3"/>
    <w:rsid w:val="009B0ED2"/>
    <w:rsid w:val="009B2AF3"/>
    <w:rsid w:val="009C2E52"/>
    <w:rsid w:val="009C75CF"/>
    <w:rsid w:val="009D77EB"/>
    <w:rsid w:val="009F306F"/>
    <w:rsid w:val="009F39B4"/>
    <w:rsid w:val="00A012DE"/>
    <w:rsid w:val="00A14443"/>
    <w:rsid w:val="00A16B40"/>
    <w:rsid w:val="00A17064"/>
    <w:rsid w:val="00A33A78"/>
    <w:rsid w:val="00A35944"/>
    <w:rsid w:val="00A35B0A"/>
    <w:rsid w:val="00A50B1B"/>
    <w:rsid w:val="00A56A7D"/>
    <w:rsid w:val="00A61384"/>
    <w:rsid w:val="00A919E5"/>
    <w:rsid w:val="00A9446C"/>
    <w:rsid w:val="00AA724C"/>
    <w:rsid w:val="00AB490B"/>
    <w:rsid w:val="00AB54D5"/>
    <w:rsid w:val="00AC3358"/>
    <w:rsid w:val="00AD61E6"/>
    <w:rsid w:val="00AD6589"/>
    <w:rsid w:val="00AE0D81"/>
    <w:rsid w:val="00AE5B25"/>
    <w:rsid w:val="00AF07C2"/>
    <w:rsid w:val="00B13260"/>
    <w:rsid w:val="00B13DC7"/>
    <w:rsid w:val="00B22977"/>
    <w:rsid w:val="00B4122F"/>
    <w:rsid w:val="00B45FE7"/>
    <w:rsid w:val="00B47BCB"/>
    <w:rsid w:val="00B50B65"/>
    <w:rsid w:val="00B56C8D"/>
    <w:rsid w:val="00B6199A"/>
    <w:rsid w:val="00B72364"/>
    <w:rsid w:val="00B7483F"/>
    <w:rsid w:val="00B7714A"/>
    <w:rsid w:val="00B94BF2"/>
    <w:rsid w:val="00B958F5"/>
    <w:rsid w:val="00BC1BA4"/>
    <w:rsid w:val="00BC2691"/>
    <w:rsid w:val="00BD1882"/>
    <w:rsid w:val="00BD6D9F"/>
    <w:rsid w:val="00BE4975"/>
    <w:rsid w:val="00BE72C1"/>
    <w:rsid w:val="00BF2272"/>
    <w:rsid w:val="00BF3B30"/>
    <w:rsid w:val="00C00E74"/>
    <w:rsid w:val="00C02FC0"/>
    <w:rsid w:val="00C05816"/>
    <w:rsid w:val="00C257BE"/>
    <w:rsid w:val="00C32777"/>
    <w:rsid w:val="00C36F65"/>
    <w:rsid w:val="00C56A4C"/>
    <w:rsid w:val="00C633D9"/>
    <w:rsid w:val="00C67E2E"/>
    <w:rsid w:val="00C739A0"/>
    <w:rsid w:val="00C83D4B"/>
    <w:rsid w:val="00C8542A"/>
    <w:rsid w:val="00C97C59"/>
    <w:rsid w:val="00CA4181"/>
    <w:rsid w:val="00CA7B40"/>
    <w:rsid w:val="00CD0FF7"/>
    <w:rsid w:val="00CD423E"/>
    <w:rsid w:val="00CE232A"/>
    <w:rsid w:val="00CF5ECE"/>
    <w:rsid w:val="00D11753"/>
    <w:rsid w:val="00D202AF"/>
    <w:rsid w:val="00D343EE"/>
    <w:rsid w:val="00D577FC"/>
    <w:rsid w:val="00D73974"/>
    <w:rsid w:val="00D742DE"/>
    <w:rsid w:val="00D746A9"/>
    <w:rsid w:val="00D76813"/>
    <w:rsid w:val="00D76B69"/>
    <w:rsid w:val="00D860DF"/>
    <w:rsid w:val="00D879B6"/>
    <w:rsid w:val="00D95660"/>
    <w:rsid w:val="00DC27F4"/>
    <w:rsid w:val="00DD07EC"/>
    <w:rsid w:val="00DD0D4A"/>
    <w:rsid w:val="00DD1E45"/>
    <w:rsid w:val="00DD2D2B"/>
    <w:rsid w:val="00DD7F6D"/>
    <w:rsid w:val="00DE5259"/>
    <w:rsid w:val="00E234B6"/>
    <w:rsid w:val="00E32463"/>
    <w:rsid w:val="00E4290A"/>
    <w:rsid w:val="00E445F9"/>
    <w:rsid w:val="00E45B78"/>
    <w:rsid w:val="00E47D44"/>
    <w:rsid w:val="00E51CC4"/>
    <w:rsid w:val="00E527FB"/>
    <w:rsid w:val="00E567F0"/>
    <w:rsid w:val="00E57DC4"/>
    <w:rsid w:val="00E640FD"/>
    <w:rsid w:val="00E76A91"/>
    <w:rsid w:val="00E92B86"/>
    <w:rsid w:val="00EB2E02"/>
    <w:rsid w:val="00EC4609"/>
    <w:rsid w:val="00EF3F72"/>
    <w:rsid w:val="00F00647"/>
    <w:rsid w:val="00F01380"/>
    <w:rsid w:val="00F12E7E"/>
    <w:rsid w:val="00F236CA"/>
    <w:rsid w:val="00F34AF6"/>
    <w:rsid w:val="00F50AD4"/>
    <w:rsid w:val="00F5439F"/>
    <w:rsid w:val="00F63834"/>
    <w:rsid w:val="00F66568"/>
    <w:rsid w:val="00F927B3"/>
    <w:rsid w:val="00FA6AE1"/>
    <w:rsid w:val="00FB7930"/>
    <w:rsid w:val="00FC7022"/>
    <w:rsid w:val="00FF18D3"/>
    <w:rsid w:val="00FF398A"/>
    <w:rsid w:val="00FF3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AE4B"/>
  <w15:chartTrackingRefBased/>
  <w15:docId w15:val="{F0F8BE2C-63E4-4013-85E4-A36661E2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234B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4B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4B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234B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234B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234B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234B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234B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234B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234B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234B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234B6"/>
    <w:rPr>
      <w:rFonts w:eastAsiaTheme="majorEastAsia" w:cstheme="majorBidi"/>
      <w:color w:val="272727" w:themeColor="text1" w:themeTint="D8"/>
    </w:rPr>
  </w:style>
  <w:style w:type="paragraph" w:styleId="Title">
    <w:name w:val="Title"/>
    <w:basedOn w:val="Normal"/>
    <w:next w:val="Normal"/>
    <w:link w:val="TitleChar"/>
    <w:uiPriority w:val="10"/>
    <w:qFormat/>
    <w:rsid w:val="00E234B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234B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234B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23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4B6"/>
    <w:pPr>
      <w:spacing w:before="160"/>
      <w:jc w:val="center"/>
    </w:pPr>
    <w:rPr>
      <w:i/>
      <w:iCs/>
      <w:color w:val="404040" w:themeColor="text1" w:themeTint="BF"/>
    </w:rPr>
  </w:style>
  <w:style w:type="character" w:styleId="QuoteChar" w:customStyle="1">
    <w:name w:val="Quote Char"/>
    <w:basedOn w:val="DefaultParagraphFont"/>
    <w:link w:val="Quote"/>
    <w:uiPriority w:val="29"/>
    <w:rsid w:val="00E234B6"/>
    <w:rPr>
      <w:i/>
      <w:iCs/>
      <w:color w:val="404040" w:themeColor="text1" w:themeTint="BF"/>
    </w:rPr>
  </w:style>
  <w:style w:type="paragraph" w:styleId="ListParagraph">
    <w:name w:val="List Paragraph"/>
    <w:basedOn w:val="Normal"/>
    <w:uiPriority w:val="34"/>
    <w:qFormat/>
    <w:rsid w:val="00E234B6"/>
    <w:pPr>
      <w:ind w:left="720"/>
      <w:contextualSpacing/>
    </w:pPr>
  </w:style>
  <w:style w:type="character" w:styleId="IntenseEmphasis">
    <w:name w:val="Intense Emphasis"/>
    <w:basedOn w:val="DefaultParagraphFont"/>
    <w:uiPriority w:val="21"/>
    <w:qFormat/>
    <w:rsid w:val="00E234B6"/>
    <w:rPr>
      <w:i/>
      <w:iCs/>
      <w:color w:val="0F4761" w:themeColor="accent1" w:themeShade="BF"/>
    </w:rPr>
  </w:style>
  <w:style w:type="paragraph" w:styleId="IntenseQuote">
    <w:name w:val="Intense Quote"/>
    <w:basedOn w:val="Normal"/>
    <w:next w:val="Normal"/>
    <w:link w:val="IntenseQuoteChar"/>
    <w:uiPriority w:val="30"/>
    <w:qFormat/>
    <w:rsid w:val="00E234B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234B6"/>
    <w:rPr>
      <w:i/>
      <w:iCs/>
      <w:color w:val="0F4761" w:themeColor="accent1" w:themeShade="BF"/>
    </w:rPr>
  </w:style>
  <w:style w:type="character" w:styleId="IntenseReference">
    <w:name w:val="Intense Reference"/>
    <w:basedOn w:val="DefaultParagraphFont"/>
    <w:uiPriority w:val="32"/>
    <w:qFormat/>
    <w:rsid w:val="00E234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6088">
      <w:bodyDiv w:val="1"/>
      <w:marLeft w:val="0"/>
      <w:marRight w:val="0"/>
      <w:marTop w:val="0"/>
      <w:marBottom w:val="0"/>
      <w:divBdr>
        <w:top w:val="none" w:sz="0" w:space="0" w:color="auto"/>
        <w:left w:val="none" w:sz="0" w:space="0" w:color="auto"/>
        <w:bottom w:val="none" w:sz="0" w:space="0" w:color="auto"/>
        <w:right w:val="none" w:sz="0" w:space="0" w:color="auto"/>
      </w:divBdr>
    </w:div>
    <w:div w:id="1155533753">
      <w:bodyDiv w:val="1"/>
      <w:marLeft w:val="0"/>
      <w:marRight w:val="0"/>
      <w:marTop w:val="0"/>
      <w:marBottom w:val="0"/>
      <w:divBdr>
        <w:top w:val="none" w:sz="0" w:space="0" w:color="auto"/>
        <w:left w:val="none" w:sz="0" w:space="0" w:color="auto"/>
        <w:bottom w:val="none" w:sz="0" w:space="0" w:color="auto"/>
        <w:right w:val="none" w:sz="0" w:space="0" w:color="auto"/>
      </w:divBdr>
    </w:div>
    <w:div w:id="118413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49b111-19db-458d-83ff-1af0ac9ae35b}" enabled="0" method="" siteId="{3c49b111-19db-458d-83ff-1af0ac9ae35b}" removed="1"/>
</clbl:labelList>
</file>

<file path=docProps/app.xml><?xml version="1.0" encoding="utf-8"?>
<ap:Properties xmlns:vt="http://schemas.openxmlformats.org/officeDocument/2006/docPropsVTypes" xmlns:ap="http://schemas.openxmlformats.org/officeDocument/2006/extended-properties">
  <ap:Template>Normal</ap:Template>
  <ap:Pages>3</ap:Pages>
  <ap:Words>837</ap:Words>
  <ap:Characters>4355</ap:Characters>
  <ap:Application>Microsoft Office Word</ap:Application>
  <ap:Lines>395</ap:Lines>
  <ap:Paragraphs>273</ap:Paragraphs>
  <ap:CharactersWithSpaces>4919</ap:CharactersWithSpaces>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creator>McGee, Michael J.</dc:creator>
  <dcterms:created xsi:type="dcterms:W3CDTF">1900-01-01T05:00:00.0000000Z</dcterms:created>
  <dcterms:modified xsi:type="dcterms:W3CDTF">1900-01-01T05:00:00.0000000Z</dcterms:modified>
</coreProperties>
</file>